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A2F970" w14:textId="2D49F5A2" w:rsidR="006A4B12" w:rsidRPr="006A4B12" w:rsidRDefault="00796858" w:rsidP="006A4B12">
      <w:pPr>
        <w:spacing w:after="0" w:line="276" w:lineRule="auto"/>
        <w:jc w:val="both"/>
        <w:rPr>
          <w:rFonts w:ascii="Arial" w:hAnsi="Arial" w:cs="Arial"/>
          <w:sz w:val="28"/>
          <w:szCs w:val="28"/>
          <w:u w:val="single"/>
        </w:rPr>
      </w:pPr>
      <w:bookmarkStart w:id="0" w:name="_GoBack"/>
      <w:bookmarkEnd w:id="0"/>
      <w:r>
        <w:rPr>
          <w:rFonts w:ascii="Arial" w:hAnsi="Arial" w:cs="Arial"/>
          <w:b/>
          <w:sz w:val="28"/>
          <w:szCs w:val="28"/>
          <w:u w:val="single"/>
        </w:rPr>
        <w:t>Sha</w:t>
      </w:r>
      <w:r w:rsidR="00D000AA">
        <w:rPr>
          <w:rFonts w:ascii="Arial" w:hAnsi="Arial" w:cs="Arial"/>
          <w:b/>
          <w:sz w:val="28"/>
          <w:szCs w:val="28"/>
          <w:u w:val="single"/>
        </w:rPr>
        <w:t>balala &amp; Others v Attorney-General, Transvaal &amp; Another</w:t>
      </w:r>
      <w:r w:rsidR="00D569DE">
        <w:rPr>
          <w:rFonts w:ascii="Arial" w:hAnsi="Arial" w:cs="Arial"/>
          <w:b/>
          <w:sz w:val="28"/>
          <w:szCs w:val="28"/>
          <w:u w:val="single"/>
        </w:rPr>
        <w:t xml:space="preserve"> </w:t>
      </w:r>
      <w:r w:rsidR="006A4B12" w:rsidRPr="006A4B12">
        <w:rPr>
          <w:rFonts w:ascii="Arial" w:hAnsi="Arial" w:cs="Arial"/>
          <w:sz w:val="28"/>
          <w:szCs w:val="28"/>
          <w:u w:val="single"/>
        </w:rPr>
        <w:t>19</w:t>
      </w:r>
      <w:r w:rsidR="00D569DE">
        <w:rPr>
          <w:rFonts w:ascii="Arial" w:hAnsi="Arial" w:cs="Arial"/>
          <w:sz w:val="28"/>
          <w:szCs w:val="28"/>
          <w:u w:val="single"/>
        </w:rPr>
        <w:t>96(1) SA</w:t>
      </w:r>
      <w:r w:rsidR="00AA583D">
        <w:rPr>
          <w:rFonts w:ascii="Arial" w:hAnsi="Arial" w:cs="Arial"/>
          <w:sz w:val="28"/>
          <w:szCs w:val="28"/>
          <w:u w:val="single"/>
        </w:rPr>
        <w:t xml:space="preserve"> 725 (CC)</w:t>
      </w:r>
    </w:p>
    <w:p w14:paraId="7F4817E6" w14:textId="77777777" w:rsidR="006A4B12" w:rsidRPr="006A4B12" w:rsidRDefault="006A4B12" w:rsidP="006A4B12">
      <w:pPr>
        <w:spacing w:after="0" w:line="276" w:lineRule="auto"/>
        <w:jc w:val="both"/>
        <w:rPr>
          <w:rFonts w:ascii="Arial" w:hAnsi="Arial" w:cs="Arial"/>
          <w:sz w:val="24"/>
          <w:szCs w:val="24"/>
        </w:rPr>
      </w:pPr>
    </w:p>
    <w:p w14:paraId="0BC9C712" w14:textId="77777777" w:rsidR="006A4B12" w:rsidRPr="006A4B12" w:rsidRDefault="006A4B12" w:rsidP="006A4B12">
      <w:pPr>
        <w:spacing w:after="0" w:line="276" w:lineRule="auto"/>
        <w:jc w:val="both"/>
        <w:rPr>
          <w:rFonts w:ascii="Arial" w:hAnsi="Arial" w:cs="Arial"/>
          <w:b/>
          <w:sz w:val="24"/>
          <w:szCs w:val="24"/>
          <w:u w:val="single"/>
        </w:rPr>
      </w:pPr>
      <w:r w:rsidRPr="006A4B12">
        <w:rPr>
          <w:rFonts w:ascii="Arial" w:hAnsi="Arial" w:cs="Arial"/>
          <w:b/>
          <w:sz w:val="24"/>
          <w:szCs w:val="24"/>
          <w:u w:val="single"/>
        </w:rPr>
        <w:t>FACTS:</w:t>
      </w:r>
    </w:p>
    <w:p w14:paraId="56E6C266" w14:textId="619DED99" w:rsidR="006A4B12" w:rsidRPr="006A4B12" w:rsidRDefault="006A4B12" w:rsidP="006A4B12">
      <w:pPr>
        <w:spacing w:after="0" w:line="276" w:lineRule="auto"/>
        <w:jc w:val="both"/>
        <w:rPr>
          <w:rFonts w:ascii="Arial" w:hAnsi="Arial" w:cs="Arial"/>
          <w:sz w:val="24"/>
          <w:szCs w:val="24"/>
        </w:rPr>
      </w:pPr>
    </w:p>
    <w:p w14:paraId="136DC1C9" w14:textId="1BAA238C" w:rsidR="00D05127" w:rsidRDefault="00CF6383" w:rsidP="006A4B12">
      <w:pPr>
        <w:spacing w:after="0" w:line="276" w:lineRule="auto"/>
        <w:jc w:val="both"/>
        <w:rPr>
          <w:rFonts w:ascii="Arial" w:hAnsi="Arial" w:cs="Arial"/>
          <w:sz w:val="24"/>
          <w:szCs w:val="24"/>
        </w:rPr>
      </w:pPr>
      <w:r w:rsidRPr="00CF6383">
        <w:rPr>
          <w:rFonts w:ascii="Arial" w:hAnsi="Arial" w:cs="Arial"/>
          <w:sz w:val="24"/>
          <w:szCs w:val="24"/>
        </w:rPr>
        <w:t>The applicants had been indicted to stand trial in a Provincial Division on a charge of murder. Before the trial, various applications were made to the trial Court on behalf of the applicants</w:t>
      </w:r>
      <w:r w:rsidR="00D05127">
        <w:rPr>
          <w:rFonts w:ascii="Arial" w:hAnsi="Arial" w:cs="Arial"/>
          <w:sz w:val="24"/>
          <w:szCs w:val="24"/>
        </w:rPr>
        <w:t>.</w:t>
      </w:r>
      <w:r w:rsidR="00BF5001" w:rsidRPr="00BF5001">
        <w:rPr>
          <w:rFonts w:ascii="Verdana" w:hAnsi="Verdana"/>
          <w:color w:val="000000"/>
          <w:sz w:val="20"/>
          <w:szCs w:val="20"/>
        </w:rPr>
        <w:t xml:space="preserve"> </w:t>
      </w:r>
      <w:r w:rsidR="00BF5001" w:rsidRPr="00BF5001">
        <w:rPr>
          <w:rFonts w:ascii="Arial" w:hAnsi="Arial" w:cs="Arial"/>
          <w:sz w:val="24"/>
          <w:szCs w:val="24"/>
        </w:rPr>
        <w:t>The Court ordered</w:t>
      </w:r>
      <w:r w:rsidR="00BF5001">
        <w:rPr>
          <w:rFonts w:ascii="Arial" w:hAnsi="Arial" w:cs="Arial"/>
          <w:sz w:val="24"/>
          <w:szCs w:val="24"/>
        </w:rPr>
        <w:t xml:space="preserve"> </w:t>
      </w:r>
      <w:r w:rsidR="00BF5001" w:rsidRPr="00BF5001">
        <w:rPr>
          <w:rFonts w:ascii="Arial" w:hAnsi="Arial" w:cs="Arial"/>
          <w:sz w:val="24"/>
          <w:szCs w:val="24"/>
        </w:rPr>
        <w:t>that a number of constitutional questions raised by the applications be referred to the Constitutional Court for a ruling in terms of s 102(8) of the Constitution.</w:t>
      </w:r>
    </w:p>
    <w:p w14:paraId="1EE51165" w14:textId="21E919AF" w:rsidR="00D05127" w:rsidRDefault="00D05127" w:rsidP="006A4B12">
      <w:pPr>
        <w:spacing w:after="0" w:line="276" w:lineRule="auto"/>
        <w:jc w:val="both"/>
        <w:rPr>
          <w:rFonts w:ascii="Arial" w:hAnsi="Arial" w:cs="Arial"/>
          <w:sz w:val="24"/>
          <w:szCs w:val="24"/>
        </w:rPr>
      </w:pPr>
    </w:p>
    <w:p w14:paraId="7043633C" w14:textId="2714A0DE" w:rsidR="00B17560" w:rsidRDefault="00B17560" w:rsidP="00B17560">
      <w:pPr>
        <w:spacing w:after="0" w:line="276" w:lineRule="auto"/>
        <w:jc w:val="both"/>
        <w:rPr>
          <w:rFonts w:ascii="Arial" w:hAnsi="Arial" w:cs="Arial"/>
          <w:sz w:val="24"/>
          <w:szCs w:val="24"/>
        </w:rPr>
      </w:pPr>
      <w:r w:rsidRPr="00B17560">
        <w:rPr>
          <w:rFonts w:ascii="Arial" w:hAnsi="Arial" w:cs="Arial"/>
          <w:sz w:val="24"/>
          <w:szCs w:val="24"/>
        </w:rPr>
        <w:t xml:space="preserve">The </w:t>
      </w:r>
      <w:r w:rsidR="00606939">
        <w:rPr>
          <w:rFonts w:ascii="Arial" w:hAnsi="Arial" w:cs="Arial"/>
          <w:sz w:val="24"/>
          <w:szCs w:val="24"/>
        </w:rPr>
        <w:t xml:space="preserve">Constitutional </w:t>
      </w:r>
      <w:r w:rsidRPr="00B17560">
        <w:rPr>
          <w:rFonts w:ascii="Arial" w:hAnsi="Arial" w:cs="Arial"/>
          <w:sz w:val="24"/>
          <w:szCs w:val="24"/>
        </w:rPr>
        <w:t xml:space="preserve">Court decided to confine itself to two issues, </w:t>
      </w:r>
      <w:r w:rsidR="00606939">
        <w:rPr>
          <w:rFonts w:ascii="Arial" w:hAnsi="Arial" w:cs="Arial"/>
          <w:sz w:val="24"/>
          <w:szCs w:val="24"/>
        </w:rPr>
        <w:t xml:space="preserve">one of them being </w:t>
      </w:r>
      <w:r w:rsidRPr="00B17560">
        <w:rPr>
          <w:rFonts w:ascii="Arial" w:hAnsi="Arial" w:cs="Arial"/>
          <w:sz w:val="24"/>
          <w:szCs w:val="24"/>
        </w:rPr>
        <w:t xml:space="preserve">whether the </w:t>
      </w:r>
      <w:r w:rsidRPr="00C00650">
        <w:rPr>
          <w:rFonts w:ascii="Arial" w:hAnsi="Arial" w:cs="Arial"/>
          <w:sz w:val="24"/>
          <w:szCs w:val="24"/>
          <w:u w:val="single"/>
        </w:rPr>
        <w:t>common law rule of practice which prohibits an accused person or his legal representative from consulting with a State witness without the permission of the prosecuting authority</w:t>
      </w:r>
      <w:r w:rsidRPr="00B17560">
        <w:rPr>
          <w:rFonts w:ascii="Arial" w:hAnsi="Arial" w:cs="Arial"/>
          <w:sz w:val="24"/>
          <w:szCs w:val="24"/>
        </w:rPr>
        <w:t>, in all cases and regardless of the circumstances, was consistent with the Constitution.</w:t>
      </w:r>
    </w:p>
    <w:p w14:paraId="5D6C2BD4" w14:textId="19DA5349" w:rsidR="00F43179" w:rsidRDefault="00F43179" w:rsidP="00B17560">
      <w:pPr>
        <w:spacing w:after="0" w:line="276" w:lineRule="auto"/>
        <w:jc w:val="both"/>
        <w:rPr>
          <w:rFonts w:ascii="Arial" w:hAnsi="Arial" w:cs="Arial"/>
          <w:sz w:val="24"/>
          <w:szCs w:val="24"/>
        </w:rPr>
      </w:pPr>
    </w:p>
    <w:p w14:paraId="435C6E62" w14:textId="3F786044" w:rsidR="00CB5C3D" w:rsidRDefault="008A1C81" w:rsidP="00F43179">
      <w:pPr>
        <w:spacing w:after="0" w:line="276" w:lineRule="auto"/>
        <w:jc w:val="both"/>
        <w:rPr>
          <w:rFonts w:ascii="Arial" w:hAnsi="Arial" w:cs="Arial"/>
          <w:sz w:val="24"/>
          <w:szCs w:val="24"/>
        </w:rPr>
      </w:pPr>
      <w:r>
        <w:rPr>
          <w:rFonts w:ascii="Arial" w:hAnsi="Arial" w:cs="Arial"/>
          <w:sz w:val="24"/>
          <w:szCs w:val="24"/>
        </w:rPr>
        <w:t xml:space="preserve">The court refers to </w:t>
      </w:r>
      <w:r w:rsidRPr="008A1C81">
        <w:rPr>
          <w:rFonts w:ascii="Arial" w:hAnsi="Arial" w:cs="Arial"/>
          <w:sz w:val="24"/>
          <w:szCs w:val="24"/>
        </w:rPr>
        <w:t>Rule 4.3.2 of the Uniform Rules of Professional Ethics of the various Societies of Advocates</w:t>
      </w:r>
      <w:r w:rsidR="002D7C47">
        <w:rPr>
          <w:rFonts w:ascii="Arial" w:hAnsi="Arial" w:cs="Arial"/>
          <w:sz w:val="24"/>
          <w:szCs w:val="24"/>
        </w:rPr>
        <w:t xml:space="preserve"> and mentions </w:t>
      </w:r>
      <w:r w:rsidR="00F43179" w:rsidRPr="00F43179">
        <w:rPr>
          <w:rFonts w:ascii="Arial" w:hAnsi="Arial" w:cs="Arial"/>
          <w:sz w:val="24"/>
          <w:szCs w:val="24"/>
        </w:rPr>
        <w:t>previous ethical rules accepting substantially the same practice</w:t>
      </w:r>
      <w:bookmarkStart w:id="1" w:name="0-0-0-382105"/>
      <w:bookmarkEnd w:id="1"/>
      <w:r w:rsidR="002D7C47">
        <w:rPr>
          <w:rFonts w:ascii="Arial" w:hAnsi="Arial" w:cs="Arial"/>
          <w:sz w:val="24"/>
          <w:szCs w:val="24"/>
        </w:rPr>
        <w:t>.</w:t>
      </w:r>
      <w:r w:rsidR="00D734A8">
        <w:rPr>
          <w:rFonts w:ascii="Arial" w:hAnsi="Arial" w:cs="Arial"/>
          <w:sz w:val="24"/>
          <w:szCs w:val="24"/>
        </w:rPr>
        <w:t xml:space="preserve"> </w:t>
      </w:r>
      <w:r w:rsidR="00F43179" w:rsidRPr="00F43179">
        <w:rPr>
          <w:rFonts w:ascii="Arial" w:hAnsi="Arial" w:cs="Arial"/>
          <w:sz w:val="24"/>
          <w:szCs w:val="24"/>
        </w:rPr>
        <w:t>Whatever be the origin of</w:t>
      </w:r>
      <w:r w:rsidR="00D07026">
        <w:rPr>
          <w:rFonts w:ascii="Arial" w:hAnsi="Arial" w:cs="Arial"/>
          <w:sz w:val="24"/>
          <w:szCs w:val="24"/>
        </w:rPr>
        <w:t xml:space="preserve"> the rule </w:t>
      </w:r>
      <w:r w:rsidR="00F43179" w:rsidRPr="00F43179">
        <w:rPr>
          <w:rFonts w:ascii="Arial" w:hAnsi="Arial" w:cs="Arial"/>
          <w:sz w:val="24"/>
          <w:szCs w:val="24"/>
        </w:rPr>
        <w:t xml:space="preserve">it subsequently became entrenched in practice and now forms such a basic part of our system of criminal justice </w:t>
      </w:r>
      <w:r w:rsidR="00A83B89">
        <w:rPr>
          <w:rFonts w:ascii="Arial" w:hAnsi="Arial" w:cs="Arial"/>
          <w:sz w:val="24"/>
          <w:szCs w:val="24"/>
        </w:rPr>
        <w:t xml:space="preserve">that a </w:t>
      </w:r>
      <w:r w:rsidR="00F43179" w:rsidRPr="00F43179">
        <w:rPr>
          <w:rFonts w:ascii="Arial" w:hAnsi="Arial" w:cs="Arial"/>
          <w:sz w:val="24"/>
          <w:szCs w:val="24"/>
        </w:rPr>
        <w:t xml:space="preserve">legal representative </w:t>
      </w:r>
      <w:r w:rsidR="00A83B89">
        <w:rPr>
          <w:rFonts w:ascii="Arial" w:hAnsi="Arial" w:cs="Arial"/>
          <w:sz w:val="24"/>
          <w:szCs w:val="24"/>
        </w:rPr>
        <w:t xml:space="preserve">must obtain </w:t>
      </w:r>
      <w:r w:rsidR="00F43179" w:rsidRPr="00F43179">
        <w:rPr>
          <w:rFonts w:ascii="Arial" w:hAnsi="Arial" w:cs="Arial"/>
          <w:sz w:val="24"/>
          <w:szCs w:val="24"/>
        </w:rPr>
        <w:t>the permission of the prosecuting authority</w:t>
      </w:r>
      <w:r w:rsidR="00A83B89">
        <w:rPr>
          <w:rFonts w:ascii="Arial" w:hAnsi="Arial" w:cs="Arial"/>
          <w:sz w:val="24"/>
          <w:szCs w:val="24"/>
        </w:rPr>
        <w:t xml:space="preserve"> to co</w:t>
      </w:r>
      <w:r w:rsidR="001526CA">
        <w:rPr>
          <w:rFonts w:ascii="Arial" w:hAnsi="Arial" w:cs="Arial"/>
          <w:sz w:val="24"/>
          <w:szCs w:val="24"/>
        </w:rPr>
        <w:t>nsult with such witnesses</w:t>
      </w:r>
      <w:r w:rsidR="00F43179" w:rsidRPr="00F43179">
        <w:rPr>
          <w:rFonts w:ascii="Arial" w:hAnsi="Arial" w:cs="Arial"/>
          <w:sz w:val="24"/>
          <w:szCs w:val="24"/>
        </w:rPr>
        <w:t xml:space="preserve">. Any legal practitioner who does </w:t>
      </w:r>
      <w:r w:rsidR="006855FE">
        <w:rPr>
          <w:rFonts w:ascii="Arial" w:hAnsi="Arial" w:cs="Arial"/>
          <w:sz w:val="24"/>
          <w:szCs w:val="24"/>
        </w:rPr>
        <w:t>not obtain such permission</w:t>
      </w:r>
      <w:r w:rsidR="00F43179" w:rsidRPr="00F43179">
        <w:rPr>
          <w:rFonts w:ascii="Arial" w:hAnsi="Arial" w:cs="Arial"/>
          <w:sz w:val="24"/>
          <w:szCs w:val="24"/>
        </w:rPr>
        <w:t xml:space="preserve"> would be guilty of unprofessional and unethical practice.</w:t>
      </w:r>
      <w:bookmarkStart w:id="2" w:name="0-0-0-382109"/>
      <w:bookmarkEnd w:id="2"/>
      <w:r w:rsidR="00CB5C3D" w:rsidRPr="00F43179">
        <w:rPr>
          <w:rFonts w:ascii="Arial" w:hAnsi="Arial" w:cs="Arial"/>
          <w:sz w:val="24"/>
          <w:szCs w:val="24"/>
        </w:rPr>
        <w:t xml:space="preserve"> </w:t>
      </w:r>
      <w:r w:rsidR="00F43179" w:rsidRPr="00F43179">
        <w:rPr>
          <w:rFonts w:ascii="Arial" w:hAnsi="Arial" w:cs="Arial"/>
          <w:sz w:val="24"/>
          <w:szCs w:val="24"/>
        </w:rPr>
        <w:t>Moreover, a breach of an ethical rule has been held to be capable of constituting an irregularity in the trial</w:t>
      </w:r>
      <w:bookmarkStart w:id="3" w:name="0-0-0-382113"/>
      <w:bookmarkEnd w:id="3"/>
      <w:r w:rsidR="00CB5C3D">
        <w:rPr>
          <w:rFonts w:ascii="Arial" w:hAnsi="Arial" w:cs="Arial"/>
          <w:sz w:val="24"/>
          <w:szCs w:val="24"/>
        </w:rPr>
        <w:t>.</w:t>
      </w:r>
    </w:p>
    <w:p w14:paraId="16F835ED" w14:textId="7B59E969" w:rsidR="00F43179" w:rsidRPr="00F43179" w:rsidRDefault="00CB5C3D" w:rsidP="00F43179">
      <w:pPr>
        <w:spacing w:after="0" w:line="276" w:lineRule="auto"/>
        <w:jc w:val="both"/>
        <w:rPr>
          <w:rFonts w:ascii="Arial" w:hAnsi="Arial" w:cs="Arial"/>
          <w:sz w:val="24"/>
          <w:szCs w:val="24"/>
        </w:rPr>
      </w:pPr>
      <w:r w:rsidRPr="00F43179">
        <w:rPr>
          <w:rFonts w:ascii="Arial" w:hAnsi="Arial" w:cs="Arial"/>
          <w:sz w:val="24"/>
          <w:szCs w:val="24"/>
        </w:rPr>
        <w:t xml:space="preserve"> </w:t>
      </w:r>
    </w:p>
    <w:p w14:paraId="6B36BDEB" w14:textId="65CDDF01" w:rsidR="00F43179" w:rsidRPr="00F43179" w:rsidRDefault="00F43179" w:rsidP="0033594D">
      <w:pPr>
        <w:spacing w:after="0" w:line="276" w:lineRule="auto"/>
        <w:jc w:val="both"/>
        <w:rPr>
          <w:rFonts w:ascii="Arial" w:hAnsi="Arial" w:cs="Arial"/>
          <w:sz w:val="24"/>
          <w:szCs w:val="24"/>
        </w:rPr>
      </w:pPr>
      <w:r w:rsidRPr="00F43179">
        <w:rPr>
          <w:rFonts w:ascii="Arial" w:hAnsi="Arial" w:cs="Arial"/>
          <w:sz w:val="24"/>
          <w:szCs w:val="24"/>
        </w:rPr>
        <w:t xml:space="preserve">The </w:t>
      </w:r>
      <w:r w:rsidR="009657C3">
        <w:rPr>
          <w:rFonts w:ascii="Arial" w:hAnsi="Arial" w:cs="Arial"/>
          <w:sz w:val="24"/>
          <w:szCs w:val="24"/>
        </w:rPr>
        <w:t>Court questioned</w:t>
      </w:r>
      <w:r w:rsidRPr="00F43179">
        <w:rPr>
          <w:rFonts w:ascii="Arial" w:hAnsi="Arial" w:cs="Arial"/>
          <w:sz w:val="24"/>
          <w:szCs w:val="24"/>
        </w:rPr>
        <w:t xml:space="preserve"> whether such a practice c</w:t>
      </w:r>
      <w:r w:rsidR="009657C3">
        <w:rPr>
          <w:rFonts w:ascii="Arial" w:hAnsi="Arial" w:cs="Arial"/>
          <w:sz w:val="24"/>
          <w:szCs w:val="24"/>
        </w:rPr>
        <w:t>ould</w:t>
      </w:r>
      <w:r w:rsidRPr="00F43179">
        <w:rPr>
          <w:rFonts w:ascii="Arial" w:hAnsi="Arial" w:cs="Arial"/>
          <w:sz w:val="24"/>
          <w:szCs w:val="24"/>
        </w:rPr>
        <w:t xml:space="preserve"> constitute a denial of the right to a fair trial to an accused person in terms of s 25(3) of the Constitution</w:t>
      </w:r>
      <w:r w:rsidR="00CC7E58">
        <w:rPr>
          <w:rFonts w:ascii="Arial" w:hAnsi="Arial" w:cs="Arial"/>
          <w:sz w:val="24"/>
          <w:szCs w:val="24"/>
        </w:rPr>
        <w:t xml:space="preserve"> and stated that </w:t>
      </w:r>
      <w:r w:rsidR="00337E32">
        <w:rPr>
          <w:rFonts w:ascii="Arial" w:hAnsi="Arial" w:cs="Arial"/>
          <w:sz w:val="24"/>
          <w:szCs w:val="24"/>
        </w:rPr>
        <w:t xml:space="preserve">cross-examination would </w:t>
      </w:r>
      <w:r w:rsidR="0077010D">
        <w:rPr>
          <w:rFonts w:ascii="Arial" w:hAnsi="Arial" w:cs="Arial"/>
          <w:sz w:val="24"/>
          <w:szCs w:val="24"/>
        </w:rPr>
        <w:t>eliminate a contravention of such right.</w:t>
      </w:r>
      <w:r w:rsidR="009F3DF5">
        <w:rPr>
          <w:rFonts w:ascii="Arial" w:hAnsi="Arial" w:cs="Arial"/>
          <w:sz w:val="24"/>
          <w:szCs w:val="24"/>
        </w:rPr>
        <w:t xml:space="preserve"> </w:t>
      </w:r>
      <w:r w:rsidRPr="00F43179">
        <w:rPr>
          <w:rFonts w:ascii="Arial" w:hAnsi="Arial" w:cs="Arial"/>
          <w:sz w:val="24"/>
          <w:szCs w:val="24"/>
        </w:rPr>
        <w:t xml:space="preserve">But there may be circumstances where the right to a fair trial might justify a prior consultation with a State witness. </w:t>
      </w:r>
    </w:p>
    <w:p w14:paraId="303458E2" w14:textId="77777777" w:rsidR="00626104" w:rsidRDefault="00626104" w:rsidP="00F43179">
      <w:pPr>
        <w:spacing w:after="0" w:line="276" w:lineRule="auto"/>
        <w:jc w:val="both"/>
        <w:rPr>
          <w:rFonts w:ascii="Arial" w:hAnsi="Arial" w:cs="Arial"/>
          <w:sz w:val="24"/>
          <w:szCs w:val="24"/>
        </w:rPr>
      </w:pPr>
    </w:p>
    <w:p w14:paraId="47E56999" w14:textId="483ECF00" w:rsidR="00157BE7" w:rsidRDefault="00F43179" w:rsidP="00F43179">
      <w:pPr>
        <w:spacing w:after="0" w:line="276" w:lineRule="auto"/>
        <w:jc w:val="both"/>
        <w:rPr>
          <w:rFonts w:ascii="Arial" w:hAnsi="Arial" w:cs="Arial"/>
          <w:sz w:val="24"/>
          <w:szCs w:val="24"/>
        </w:rPr>
      </w:pPr>
      <w:r w:rsidRPr="00F43179">
        <w:rPr>
          <w:rFonts w:ascii="Arial" w:hAnsi="Arial" w:cs="Arial"/>
          <w:sz w:val="24"/>
          <w:szCs w:val="24"/>
        </w:rPr>
        <w:t xml:space="preserve">The relevant issue is not </w:t>
      </w:r>
      <w:r w:rsidR="00176D98" w:rsidRPr="00F43179">
        <w:rPr>
          <w:rFonts w:ascii="Arial" w:hAnsi="Arial" w:cs="Arial"/>
          <w:sz w:val="24"/>
          <w:szCs w:val="24"/>
        </w:rPr>
        <w:t>whether</w:t>
      </w:r>
      <w:r w:rsidRPr="00F43179">
        <w:rPr>
          <w:rFonts w:ascii="Arial" w:hAnsi="Arial" w:cs="Arial"/>
          <w:sz w:val="24"/>
          <w:szCs w:val="24"/>
        </w:rPr>
        <w:t xml:space="preserve"> such consultations would ordinarily be justified in order to ensure a fair trial but whether it could legitimately be said that such consultations can never be justified. If it cannot be said that such consultations are never justified, the blanket prohibition against the right of an accused to consult State witnesses (without the consent of the prosecution), regardless of the circumstances or the conditions, might indeed bear unfairly on the accused.</w:t>
      </w:r>
      <w:r w:rsidR="009D5D4C">
        <w:rPr>
          <w:rFonts w:ascii="Arial" w:hAnsi="Arial" w:cs="Arial"/>
          <w:sz w:val="24"/>
          <w:szCs w:val="24"/>
        </w:rPr>
        <w:t xml:space="preserve"> </w:t>
      </w:r>
    </w:p>
    <w:p w14:paraId="6E8FE54F" w14:textId="77777777" w:rsidR="00157BE7" w:rsidRDefault="00157BE7" w:rsidP="00F43179">
      <w:pPr>
        <w:spacing w:after="0" w:line="276" w:lineRule="auto"/>
        <w:jc w:val="both"/>
        <w:rPr>
          <w:rFonts w:ascii="Arial" w:hAnsi="Arial" w:cs="Arial"/>
          <w:sz w:val="24"/>
          <w:szCs w:val="24"/>
        </w:rPr>
      </w:pPr>
    </w:p>
    <w:p w14:paraId="6E84B5EB" w14:textId="1F328136" w:rsidR="00F43179" w:rsidRDefault="00F43179" w:rsidP="00F43179">
      <w:pPr>
        <w:spacing w:after="0" w:line="276" w:lineRule="auto"/>
        <w:jc w:val="both"/>
        <w:rPr>
          <w:rFonts w:ascii="Arial" w:hAnsi="Arial" w:cs="Arial"/>
          <w:sz w:val="24"/>
          <w:szCs w:val="24"/>
        </w:rPr>
      </w:pPr>
      <w:r w:rsidRPr="00F43179">
        <w:rPr>
          <w:rFonts w:ascii="Arial" w:hAnsi="Arial" w:cs="Arial"/>
          <w:sz w:val="24"/>
          <w:szCs w:val="24"/>
        </w:rPr>
        <w:lastRenderedPageBreak/>
        <w:t>This consideration is, however, not in itself decisive in determining whether the rule is indeed unconstitutional because the prejudicial effects of the application of the rule must be weighed against other factors which also bear upon the problem</w:t>
      </w:r>
      <w:r w:rsidR="00E005A9">
        <w:rPr>
          <w:rFonts w:ascii="Arial" w:hAnsi="Arial" w:cs="Arial"/>
          <w:sz w:val="24"/>
          <w:szCs w:val="24"/>
        </w:rPr>
        <w:t xml:space="preserve"> </w:t>
      </w:r>
      <w:r w:rsidR="0012494C" w:rsidRPr="0012494C">
        <w:rPr>
          <w:rFonts w:ascii="Arial" w:hAnsi="Arial" w:cs="Arial"/>
          <w:sz w:val="24"/>
          <w:szCs w:val="24"/>
          <w:lang w:val="en-GB"/>
        </w:rPr>
        <w:t xml:space="preserve">such </w:t>
      </w:r>
      <w:r w:rsidR="00E005A9">
        <w:rPr>
          <w:rFonts w:ascii="Arial" w:hAnsi="Arial" w:cs="Arial"/>
          <w:sz w:val="24"/>
          <w:szCs w:val="24"/>
          <w:lang w:val="en-GB"/>
        </w:rPr>
        <w:t xml:space="preserve">as </w:t>
      </w:r>
      <w:r w:rsidR="0012494C" w:rsidRPr="0012494C">
        <w:rPr>
          <w:rFonts w:ascii="Arial" w:hAnsi="Arial" w:cs="Arial"/>
          <w:sz w:val="24"/>
          <w:szCs w:val="24"/>
          <w:lang w:val="en-GB"/>
        </w:rPr>
        <w:t xml:space="preserve">State witness </w:t>
      </w:r>
      <w:r w:rsidR="00E005A9">
        <w:rPr>
          <w:rFonts w:ascii="Arial" w:hAnsi="Arial" w:cs="Arial"/>
          <w:sz w:val="24"/>
          <w:szCs w:val="24"/>
          <w:lang w:val="en-GB"/>
        </w:rPr>
        <w:t xml:space="preserve">who </w:t>
      </w:r>
      <w:r w:rsidR="0012494C" w:rsidRPr="0012494C">
        <w:rPr>
          <w:rFonts w:ascii="Arial" w:hAnsi="Arial" w:cs="Arial"/>
          <w:sz w:val="24"/>
          <w:szCs w:val="24"/>
          <w:lang w:val="en-GB"/>
        </w:rPr>
        <w:t>declin</w:t>
      </w:r>
      <w:r w:rsidR="00E005A9">
        <w:rPr>
          <w:rFonts w:ascii="Arial" w:hAnsi="Arial" w:cs="Arial"/>
          <w:sz w:val="24"/>
          <w:szCs w:val="24"/>
          <w:lang w:val="en-GB"/>
        </w:rPr>
        <w:t>e</w:t>
      </w:r>
      <w:r w:rsidR="0012494C" w:rsidRPr="0012494C">
        <w:rPr>
          <w:rFonts w:ascii="Arial" w:hAnsi="Arial" w:cs="Arial"/>
          <w:sz w:val="24"/>
          <w:szCs w:val="24"/>
          <w:lang w:val="en-GB"/>
        </w:rPr>
        <w:t xml:space="preserve"> to be consulted; or</w:t>
      </w:r>
      <w:r w:rsidR="00944751">
        <w:rPr>
          <w:rFonts w:ascii="Arial" w:hAnsi="Arial" w:cs="Arial"/>
          <w:sz w:val="24"/>
          <w:szCs w:val="24"/>
          <w:lang w:val="en-GB"/>
        </w:rPr>
        <w:t xml:space="preserve"> if it were to be reasonably believed that such </w:t>
      </w:r>
      <w:r w:rsidR="0012494C" w:rsidRPr="0012494C">
        <w:rPr>
          <w:rFonts w:ascii="Arial" w:hAnsi="Arial" w:cs="Arial"/>
          <w:sz w:val="24"/>
          <w:szCs w:val="24"/>
          <w:lang w:val="en-GB"/>
        </w:rPr>
        <w:t>consultation might lead to the intimidation of the witness or a tampering with his or her evidence or that it might lead to the disclosure of State secrets or the identity of informers or that it might otherwise prejudice the proper ends of justice</w:t>
      </w:r>
      <w:r w:rsidR="00E005A9">
        <w:rPr>
          <w:rFonts w:ascii="Arial" w:hAnsi="Arial" w:cs="Arial"/>
          <w:sz w:val="24"/>
          <w:szCs w:val="24"/>
          <w:lang w:val="en-GB"/>
        </w:rPr>
        <w:t>.</w:t>
      </w:r>
      <w:r w:rsidR="006F324B">
        <w:rPr>
          <w:rFonts w:ascii="Arial" w:hAnsi="Arial" w:cs="Arial"/>
          <w:sz w:val="24"/>
          <w:szCs w:val="24"/>
        </w:rPr>
        <w:t xml:space="preserve"> B</w:t>
      </w:r>
      <w:r w:rsidRPr="00F43179">
        <w:rPr>
          <w:rFonts w:ascii="Arial" w:hAnsi="Arial" w:cs="Arial"/>
          <w:sz w:val="24"/>
          <w:szCs w:val="24"/>
        </w:rPr>
        <w:t>ut it must be remembered that there may not be many cases in which such consultations can be justified on the ground that a fair trial will be impaired if such prior consultation is not allowed and on the ground that the opportunities subsequently offered to the accused in cross-examination of the witness to canvass the relevant issues, will not sufficiently compensate the accused for the disadvantage.</w:t>
      </w:r>
    </w:p>
    <w:p w14:paraId="6F93A47E" w14:textId="77777777" w:rsidR="00986E20" w:rsidRPr="00F43179" w:rsidRDefault="00986E20" w:rsidP="00F43179">
      <w:pPr>
        <w:spacing w:after="0" w:line="276" w:lineRule="auto"/>
        <w:jc w:val="both"/>
        <w:rPr>
          <w:rFonts w:ascii="Arial" w:hAnsi="Arial" w:cs="Arial"/>
          <w:sz w:val="24"/>
          <w:szCs w:val="24"/>
        </w:rPr>
      </w:pPr>
    </w:p>
    <w:p w14:paraId="42F9B3A2" w14:textId="5C88D279" w:rsidR="00F43179" w:rsidRPr="00F43179" w:rsidRDefault="00BB2161" w:rsidP="00F43179">
      <w:pPr>
        <w:spacing w:after="0" w:line="276" w:lineRule="auto"/>
        <w:jc w:val="both"/>
        <w:rPr>
          <w:rFonts w:ascii="Arial" w:hAnsi="Arial" w:cs="Arial"/>
          <w:sz w:val="24"/>
          <w:szCs w:val="24"/>
        </w:rPr>
      </w:pPr>
      <w:r>
        <w:rPr>
          <w:rFonts w:ascii="Arial" w:hAnsi="Arial" w:cs="Arial"/>
          <w:sz w:val="24"/>
          <w:szCs w:val="24"/>
        </w:rPr>
        <w:t>The Court’s main concern rested on the</w:t>
      </w:r>
      <w:r w:rsidR="00F43179" w:rsidRPr="00F43179">
        <w:rPr>
          <w:rFonts w:ascii="Arial" w:hAnsi="Arial" w:cs="Arial"/>
          <w:sz w:val="24"/>
          <w:szCs w:val="24"/>
        </w:rPr>
        <w:t xml:space="preserve"> blanket prohibition against </w:t>
      </w:r>
      <w:r w:rsidR="00726EAC">
        <w:rPr>
          <w:rFonts w:ascii="Arial" w:hAnsi="Arial" w:cs="Arial"/>
          <w:sz w:val="24"/>
          <w:szCs w:val="24"/>
        </w:rPr>
        <w:t xml:space="preserve">all </w:t>
      </w:r>
      <w:r w:rsidR="00F43179" w:rsidRPr="00F43179">
        <w:rPr>
          <w:rFonts w:ascii="Arial" w:hAnsi="Arial" w:cs="Arial"/>
          <w:sz w:val="24"/>
          <w:szCs w:val="24"/>
        </w:rPr>
        <w:t>consultations regardless of the circumstances unless the consent of the prosecuting authority is obtained. To that extent, it is unjustified, because it might in some cases impair the right of the</w:t>
      </w:r>
      <w:r w:rsidR="00032144">
        <w:rPr>
          <w:rFonts w:ascii="Arial" w:hAnsi="Arial" w:cs="Arial"/>
          <w:sz w:val="24"/>
          <w:szCs w:val="24"/>
        </w:rPr>
        <w:t xml:space="preserve"> </w:t>
      </w:r>
      <w:r w:rsidR="00F43179" w:rsidRPr="00F43179">
        <w:rPr>
          <w:rFonts w:ascii="Arial" w:hAnsi="Arial" w:cs="Arial"/>
          <w:sz w:val="24"/>
          <w:szCs w:val="24"/>
        </w:rPr>
        <w:t xml:space="preserve">accused to a fair trial. Moreover, such a blanket rule of exclusion cannot be justified under s 33 of the Constitution. It is unreasonable, unjustifiable in an open and democratic society based on freedom and equality and unnecessary. Whatever be its motivation, it must in part at least be based on two untenable propositions. The first is that there can be </w:t>
      </w:r>
      <w:r w:rsidR="001231AE">
        <w:rPr>
          <w:rFonts w:ascii="Arial" w:hAnsi="Arial" w:cs="Arial"/>
          <w:sz w:val="24"/>
          <w:szCs w:val="24"/>
        </w:rPr>
        <w:t>no</w:t>
      </w:r>
      <w:r w:rsidR="00F43179" w:rsidRPr="00F43179">
        <w:rPr>
          <w:rFonts w:ascii="Arial" w:hAnsi="Arial" w:cs="Arial"/>
          <w:sz w:val="24"/>
          <w:szCs w:val="24"/>
        </w:rPr>
        <w:t xml:space="preserve"> circumstances in which the right to a fair trial would justify a consultation with a State witness at the instance of an accused. For the reasons </w:t>
      </w:r>
      <w:r w:rsidR="00EE09D7">
        <w:rPr>
          <w:rFonts w:ascii="Arial" w:hAnsi="Arial" w:cs="Arial"/>
          <w:sz w:val="24"/>
          <w:szCs w:val="24"/>
        </w:rPr>
        <w:t>that have been stated,</w:t>
      </w:r>
      <w:r w:rsidR="00F43179" w:rsidRPr="00F43179">
        <w:rPr>
          <w:rFonts w:ascii="Arial" w:hAnsi="Arial" w:cs="Arial"/>
          <w:sz w:val="24"/>
          <w:szCs w:val="24"/>
        </w:rPr>
        <w:t xml:space="preserve"> that proposition must be incorrect. The second proposition is that, because the prosecution interviewed a relevant witness first, it had some kind of right to preclude an accused person from seeing the same witness because he or she was late in the queue or because the State acquired some kind of 'property' in the witness. That is manifestly incorrect</w:t>
      </w:r>
      <w:bookmarkStart w:id="4" w:name="0-0-0-382125"/>
      <w:bookmarkEnd w:id="4"/>
      <w:r w:rsidR="00261D46">
        <w:rPr>
          <w:rFonts w:ascii="Arial" w:hAnsi="Arial" w:cs="Arial"/>
          <w:sz w:val="24"/>
          <w:szCs w:val="24"/>
        </w:rPr>
        <w:t>.</w:t>
      </w:r>
      <w:r w:rsidR="00261D46" w:rsidRPr="00F43179">
        <w:rPr>
          <w:rFonts w:ascii="Arial" w:hAnsi="Arial" w:cs="Arial"/>
          <w:sz w:val="24"/>
          <w:szCs w:val="24"/>
        </w:rPr>
        <w:t xml:space="preserve"> </w:t>
      </w:r>
    </w:p>
    <w:p w14:paraId="69199E47" w14:textId="578D340B" w:rsidR="00261D46" w:rsidRDefault="00261D46" w:rsidP="00F43179">
      <w:pPr>
        <w:spacing w:after="0" w:line="276" w:lineRule="auto"/>
        <w:jc w:val="both"/>
        <w:rPr>
          <w:rFonts w:ascii="Arial" w:hAnsi="Arial" w:cs="Arial"/>
          <w:sz w:val="24"/>
          <w:szCs w:val="24"/>
        </w:rPr>
      </w:pPr>
    </w:p>
    <w:p w14:paraId="77089DED" w14:textId="5F1263C2" w:rsidR="00F43179" w:rsidRPr="00F43179" w:rsidRDefault="00F43179" w:rsidP="00F43179">
      <w:pPr>
        <w:spacing w:after="0" w:line="276" w:lineRule="auto"/>
        <w:jc w:val="both"/>
        <w:rPr>
          <w:rFonts w:ascii="Arial" w:hAnsi="Arial" w:cs="Arial"/>
          <w:sz w:val="24"/>
          <w:szCs w:val="24"/>
        </w:rPr>
      </w:pPr>
      <w:r w:rsidRPr="00F43179">
        <w:rPr>
          <w:rFonts w:ascii="Arial" w:hAnsi="Arial" w:cs="Arial"/>
          <w:sz w:val="24"/>
          <w:szCs w:val="24"/>
        </w:rPr>
        <w:t>It follows from these conclusions that the blanket rule which prohibits an accused person from consulting with a State witness without the permission of the prosecuting authority in all cases and regardless of the circumstances is too wide and is not protected by s 33 of the Constitution. However, the claim to consult State witnesses without the prior permission of the prosecuting authority can only be justified in circumstances where the right of the accused to a fair trial would in the special circumstances of the case be impaired if the defence is denied the opportunity to have such consultations.</w:t>
      </w:r>
      <w:r w:rsidR="00ED3652">
        <w:rPr>
          <w:rFonts w:ascii="Arial" w:hAnsi="Arial" w:cs="Arial"/>
          <w:sz w:val="24"/>
          <w:szCs w:val="24"/>
        </w:rPr>
        <w:t xml:space="preserve"> </w:t>
      </w:r>
      <w:r w:rsidRPr="00F43179">
        <w:rPr>
          <w:rFonts w:ascii="Arial" w:hAnsi="Arial" w:cs="Arial"/>
          <w:sz w:val="24"/>
          <w:szCs w:val="24"/>
        </w:rPr>
        <w:t>If such consultation is denied to the accused in these circumstances the Court must have the right, in an appropriate case, to test the legitimacy of any such denial and to direct access to a witness for the purpose of such consultation, if such a course is justified for the purpose of ensuring a fair trial.</w:t>
      </w:r>
    </w:p>
    <w:p w14:paraId="5B083927" w14:textId="77777777" w:rsidR="00C9582B" w:rsidRDefault="00C9582B" w:rsidP="00F43179">
      <w:pPr>
        <w:spacing w:after="0" w:line="276" w:lineRule="auto"/>
        <w:jc w:val="both"/>
        <w:rPr>
          <w:rFonts w:ascii="Arial" w:hAnsi="Arial" w:cs="Arial"/>
          <w:sz w:val="24"/>
          <w:szCs w:val="24"/>
        </w:rPr>
      </w:pPr>
    </w:p>
    <w:p w14:paraId="209F8596" w14:textId="2E2EF8B6" w:rsidR="00F43179" w:rsidRPr="00F43179" w:rsidRDefault="00F43179" w:rsidP="00F43179">
      <w:pPr>
        <w:spacing w:after="0" w:line="276" w:lineRule="auto"/>
        <w:jc w:val="both"/>
        <w:rPr>
          <w:rFonts w:ascii="Arial" w:hAnsi="Arial" w:cs="Arial"/>
          <w:sz w:val="24"/>
          <w:szCs w:val="24"/>
        </w:rPr>
      </w:pPr>
      <w:r w:rsidRPr="00F43179">
        <w:rPr>
          <w:rFonts w:ascii="Arial" w:hAnsi="Arial" w:cs="Arial"/>
          <w:sz w:val="24"/>
          <w:szCs w:val="24"/>
        </w:rPr>
        <w:lastRenderedPageBreak/>
        <w:t xml:space="preserve">Even in cases where the Court takes the view that the requirements of a fair trial indeed justify such consultations with State witnesses in a particular case, it does not necessarily follow that it is obliged to direct access by the accused to the witnesses for such consultation purposes. The Court has a discretion to refuse such a direction if the prosecution is able to establish through the relevant evidence and circumstances, that there is a reasonable risk that such access might lead to the intimidation of the witness or otherwise prejudice the proper ends of justice. It would not be sufficient, however, for the State merely to establish that that is its </w:t>
      </w:r>
      <w:r w:rsidRPr="00F43179">
        <w:rPr>
          <w:rFonts w:ascii="Arial" w:hAnsi="Arial" w:cs="Arial"/>
          <w:i/>
          <w:iCs/>
          <w:sz w:val="24"/>
          <w:szCs w:val="24"/>
        </w:rPr>
        <w:t>bona fide</w:t>
      </w:r>
      <w:r w:rsidRPr="00F43179">
        <w:rPr>
          <w:rFonts w:ascii="Arial" w:hAnsi="Arial" w:cs="Arial"/>
          <w:sz w:val="24"/>
          <w:szCs w:val="24"/>
        </w:rPr>
        <w:t xml:space="preserve"> belief. It must show that a reasonable person in the position of the prosecution would hold such a belief and, even in such a case, the Court would be entitled to exercise its discretion against the prosecution by balancing the interests of the accused against the interests of the State.</w:t>
      </w:r>
    </w:p>
    <w:p w14:paraId="1AB7FA27" w14:textId="3E7BB7C5" w:rsidR="00D05127" w:rsidRDefault="00D05127" w:rsidP="006A4B12">
      <w:pPr>
        <w:spacing w:after="0" w:line="276" w:lineRule="auto"/>
        <w:jc w:val="both"/>
        <w:rPr>
          <w:rFonts w:ascii="Arial" w:hAnsi="Arial" w:cs="Arial"/>
          <w:sz w:val="24"/>
          <w:szCs w:val="24"/>
        </w:rPr>
      </w:pPr>
    </w:p>
    <w:p w14:paraId="5B44467D" w14:textId="0E144411" w:rsidR="004664B1" w:rsidRDefault="00852E96" w:rsidP="006A4B12">
      <w:pPr>
        <w:spacing w:after="0" w:line="276" w:lineRule="auto"/>
        <w:jc w:val="both"/>
        <w:rPr>
          <w:rFonts w:ascii="Arial" w:hAnsi="Arial" w:cs="Arial"/>
          <w:sz w:val="24"/>
          <w:szCs w:val="24"/>
        </w:rPr>
      </w:pPr>
      <w:r w:rsidRPr="006A4B12">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777173A5" wp14:editId="2EDC9AE6">
                <wp:simplePos x="0" y="0"/>
                <wp:positionH relativeFrom="margin">
                  <wp:align>left</wp:align>
                </wp:positionH>
                <wp:positionV relativeFrom="paragraph">
                  <wp:posOffset>287655</wp:posOffset>
                </wp:positionV>
                <wp:extent cx="5895975" cy="40481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4048125"/>
                        </a:xfrm>
                        <a:prstGeom prst="rect">
                          <a:avLst/>
                        </a:prstGeom>
                        <a:solidFill>
                          <a:srgbClr val="FFFFFF"/>
                        </a:solidFill>
                        <a:ln w="9525">
                          <a:solidFill>
                            <a:srgbClr val="000000"/>
                          </a:solidFill>
                          <a:miter lim="800000"/>
                          <a:headEnd/>
                          <a:tailEnd/>
                        </a:ln>
                      </wps:spPr>
                      <wps:txbx>
                        <w:txbxContent>
                          <w:p w14:paraId="17E75C3A" w14:textId="77777777" w:rsidR="004F2224" w:rsidRDefault="006A4B12" w:rsidP="006A4B12">
                            <w:pPr>
                              <w:spacing w:line="276" w:lineRule="auto"/>
                              <w:rPr>
                                <w:rFonts w:ascii="Times New Roman" w:hAnsi="Times New Roman" w:cs="Times New Roman"/>
                                <w:b/>
                                <w:i/>
                              </w:rPr>
                            </w:pPr>
                            <w:r w:rsidRPr="00AA583D">
                              <w:rPr>
                                <w:rFonts w:ascii="Times New Roman" w:hAnsi="Times New Roman" w:cs="Times New Roman"/>
                                <w:b/>
                                <w:i/>
                              </w:rPr>
                              <w:t>Extract:</w:t>
                            </w:r>
                          </w:p>
                          <w:p w14:paraId="2A05DF62" w14:textId="53E23983" w:rsidR="00DD2D1B" w:rsidRDefault="00DD2D1B" w:rsidP="009F0A5C">
                            <w:pPr>
                              <w:spacing w:after="0" w:line="276" w:lineRule="auto"/>
                              <w:rPr>
                                <w:rFonts w:ascii="Times New Roman" w:hAnsi="Times New Roman" w:cs="Times New Roman"/>
                                <w:i/>
                              </w:rPr>
                            </w:pPr>
                            <w:r w:rsidRPr="00DD2D1B">
                              <w:rPr>
                                <w:rFonts w:ascii="Times New Roman" w:hAnsi="Times New Roman" w:cs="Times New Roman"/>
                                <w:b/>
                                <w:i/>
                              </w:rPr>
                              <w:t>758</w:t>
                            </w:r>
                            <w:r w:rsidR="004F2224" w:rsidRPr="004F2224">
                              <w:rPr>
                                <w:rFonts w:ascii="Times New Roman" w:hAnsi="Times New Roman" w:cs="Times New Roman"/>
                                <w:b/>
                                <w:i/>
                              </w:rPr>
                              <w:t>A</w:t>
                            </w:r>
                            <w:r w:rsidR="007266B3">
                              <w:rPr>
                                <w:rFonts w:ascii="Times New Roman" w:hAnsi="Times New Roman" w:cs="Times New Roman"/>
                                <w:b/>
                                <w:i/>
                              </w:rPr>
                              <w:t>-</w:t>
                            </w:r>
                            <w:r w:rsidR="009F0A5C">
                              <w:rPr>
                                <w:rFonts w:ascii="Times New Roman" w:hAnsi="Times New Roman" w:cs="Times New Roman"/>
                                <w:b/>
                                <w:i/>
                              </w:rPr>
                              <w:t xml:space="preserve">F: </w:t>
                            </w:r>
                            <w:r w:rsidR="004F2224" w:rsidRPr="004F2224">
                              <w:rPr>
                                <w:rFonts w:ascii="Times New Roman" w:hAnsi="Times New Roman" w:cs="Times New Roman"/>
                                <w:i/>
                              </w:rPr>
                              <w:t xml:space="preserve"> 2. An accused person has a right to consult a State witness without prior permission of the prosecuting authority in circumstances where his or her right to a fair trial would be impaired if, on the special facts of a particular case, the accused cannot properly obtain a fair trial without such consultation.</w:t>
                            </w:r>
                          </w:p>
                          <w:p w14:paraId="559F1887" w14:textId="23005F13" w:rsidR="00F64996" w:rsidRDefault="004F2224" w:rsidP="009F0A5C">
                            <w:pPr>
                              <w:spacing w:after="0" w:line="276" w:lineRule="auto"/>
                              <w:rPr>
                                <w:rFonts w:ascii="Times New Roman" w:hAnsi="Times New Roman" w:cs="Times New Roman"/>
                                <w:i/>
                              </w:rPr>
                            </w:pPr>
                            <w:r w:rsidRPr="004F2224">
                              <w:rPr>
                                <w:rFonts w:ascii="Times New Roman" w:hAnsi="Times New Roman" w:cs="Times New Roman"/>
                                <w:i/>
                              </w:rPr>
                              <w:t>3.The accused or his or her legal representative should in such circumstances approach the Attorney-General or an official authorised by the Attorney-General for consent to hold such consultation. If such consent is granted the Attorney-General or such official shall be entitled to be present at such consultation and to record what transpires during the consultation. If the consent of the Attorney-General is refused the accused shall be entitled to approach the Court for such permission to consult the relevant witness.</w:t>
                            </w:r>
                          </w:p>
                          <w:p w14:paraId="49E54533" w14:textId="77777777" w:rsidR="007266B3" w:rsidRDefault="004F2224" w:rsidP="009F0A5C">
                            <w:pPr>
                              <w:spacing w:after="0" w:line="276" w:lineRule="auto"/>
                              <w:rPr>
                                <w:rFonts w:ascii="Times New Roman" w:hAnsi="Times New Roman" w:cs="Times New Roman"/>
                                <w:i/>
                              </w:rPr>
                            </w:pPr>
                            <w:r w:rsidRPr="004F2224">
                              <w:rPr>
                                <w:rFonts w:ascii="Times New Roman" w:hAnsi="Times New Roman" w:cs="Times New Roman"/>
                                <w:i/>
                              </w:rPr>
                              <w:t>4.  The right referred to in para 2 does not entitle an accused person to compel such consultation with a State witness: - </w:t>
                            </w:r>
                          </w:p>
                          <w:p w14:paraId="2F71415D" w14:textId="77777777" w:rsidR="007266B3" w:rsidRDefault="004F2224" w:rsidP="009F0A5C">
                            <w:pPr>
                              <w:spacing w:after="0" w:line="276" w:lineRule="auto"/>
                              <w:rPr>
                                <w:rFonts w:ascii="Times New Roman" w:hAnsi="Times New Roman" w:cs="Times New Roman"/>
                                <w:i/>
                              </w:rPr>
                            </w:pPr>
                            <w:r w:rsidRPr="004F2224">
                              <w:rPr>
                                <w:rFonts w:ascii="Times New Roman" w:hAnsi="Times New Roman" w:cs="Times New Roman"/>
                                <w:i/>
                                <w:iCs/>
                              </w:rPr>
                              <w:t>(a)</w:t>
                            </w:r>
                            <w:r w:rsidRPr="004F2224">
                              <w:rPr>
                                <w:rFonts w:ascii="Times New Roman" w:hAnsi="Times New Roman" w:cs="Times New Roman"/>
                                <w:i/>
                              </w:rPr>
                              <w:t>   if such State witness declines to be so consulted; or</w:t>
                            </w:r>
                          </w:p>
                          <w:p w14:paraId="78E4B086" w14:textId="24D92F0D" w:rsidR="007266B3" w:rsidRDefault="004F2224" w:rsidP="009F0A5C">
                            <w:pPr>
                              <w:spacing w:after="0" w:line="276" w:lineRule="auto"/>
                              <w:rPr>
                                <w:rFonts w:ascii="Times New Roman" w:hAnsi="Times New Roman" w:cs="Times New Roman"/>
                                <w:i/>
                              </w:rPr>
                            </w:pPr>
                            <w:r w:rsidRPr="004F2224">
                              <w:rPr>
                                <w:rFonts w:ascii="Times New Roman" w:hAnsi="Times New Roman" w:cs="Times New Roman"/>
                                <w:i/>
                                <w:iCs/>
                              </w:rPr>
                              <w:t>(b)</w:t>
                            </w:r>
                            <w:r w:rsidRPr="004F2224">
                              <w:rPr>
                                <w:rFonts w:ascii="Times New Roman" w:hAnsi="Times New Roman" w:cs="Times New Roman"/>
                                <w:i/>
                              </w:rPr>
                              <w:t>   if it is established on behalf of the State that it has reasonable grounds to believe such consultation might lead to the intimidation of the witness or a tampering with his or her evidence or that it might lead to the disclosure of State secrets or the identity of informers or that it might otherwise prejudice the proper ends of justice.</w:t>
                            </w:r>
                          </w:p>
                          <w:p w14:paraId="3A200635" w14:textId="250C85AA" w:rsidR="004F2224" w:rsidRPr="004F2224" w:rsidRDefault="004F2224" w:rsidP="004F2224">
                            <w:pPr>
                              <w:spacing w:line="276" w:lineRule="auto"/>
                              <w:rPr>
                                <w:rFonts w:ascii="Times New Roman" w:hAnsi="Times New Roman" w:cs="Times New Roman"/>
                                <w:i/>
                              </w:rPr>
                            </w:pPr>
                            <w:r w:rsidRPr="004F2224">
                              <w:rPr>
                                <w:rFonts w:ascii="Times New Roman" w:hAnsi="Times New Roman" w:cs="Times New Roman"/>
                                <w:i/>
                              </w:rPr>
                              <w:t>5. Even in the circumstances referred to in para 4</w:t>
                            </w:r>
                            <w:r w:rsidRPr="004F2224">
                              <w:rPr>
                                <w:rFonts w:ascii="Times New Roman" w:hAnsi="Times New Roman" w:cs="Times New Roman"/>
                                <w:i/>
                                <w:iCs/>
                              </w:rPr>
                              <w:t>(b)</w:t>
                            </w:r>
                            <w:r w:rsidRPr="004F2224">
                              <w:rPr>
                                <w:rFonts w:ascii="Times New Roman" w:hAnsi="Times New Roman" w:cs="Times New Roman"/>
                                <w:i/>
                              </w:rPr>
                              <w:t xml:space="preserve">, the Court may, in the circumstances of a particular case, exercise a discretion to permit such consultation in the interest of justice subject to suitable safeguards. </w:t>
                            </w:r>
                          </w:p>
                          <w:p w14:paraId="297DA70E" w14:textId="2E20397F" w:rsidR="006A4B12" w:rsidRPr="00AA583D" w:rsidRDefault="006A4B12" w:rsidP="006A4B12">
                            <w:pPr>
                              <w:spacing w:line="276" w:lineRule="auto"/>
                              <w:rPr>
                                <w:rFonts w:ascii="Times New Roman" w:hAnsi="Times New Roman" w:cs="Times New Roman"/>
                                <w:i/>
                              </w:rPr>
                            </w:pPr>
                          </w:p>
                          <w:p w14:paraId="547E79F5" w14:textId="77777777" w:rsidR="006A4B12" w:rsidRPr="00101B97" w:rsidRDefault="006A4B12" w:rsidP="006A4B12">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7173A5" id="_x0000_t202" coordsize="21600,21600" o:spt="202" path="m,l,21600r21600,l21600,xe">
                <v:stroke joinstyle="miter"/>
                <v:path gradientshapeok="t" o:connecttype="rect"/>
              </v:shapetype>
              <v:shape id="Text Box 2" o:spid="_x0000_s1026" type="#_x0000_t202" style="position:absolute;left:0;text-align:left;margin-left:0;margin-top:22.65pt;width:464.25pt;height:318.7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81gJAIAAEcEAAAOAAAAZHJzL2Uyb0RvYy54bWysU22P0zAM/o7Ef4jynfVFK9uqdadjxxDS&#10;cSDd8QOyNF0j0jgk2drx63HS3hgv4gMiHyI7dh7bj+31zdApchLWSdAVzWYpJUJzqKU+VPTz0+7V&#10;khLnma6ZAi0qehaO3mxevlj3phQ5tKBqYQmCaFf2pqKt96ZMEsdb0TE3AyM0GhuwHfOo2kNSW9Yj&#10;eqeSPE1fJz3Y2ljgwjl8vRuNdBPxm0Zw/7FpnPBEVRRz8/G28d6HO9msWXmwzLSST2mwf8iiY1Jj&#10;0AvUHfOMHK38DaqT3IKDxs84dAk0jeQi1oDVZOkv1Ty2zIhYC5LjzIUm9/9g+cPpkyWyrmieLSjR&#10;rMMmPYnBkzcwkDzw0xtXotujQUc/4DP2OdbqzD3wL45o2LZMH8SttdC3gtWYXxZ+JldfRxwXQPb9&#10;B6gxDDt6iEBDY7tAHtJBEB37dL70JqTC8bFYrorVoqCEo22ezpdZXsQYrHz+bqzz7wR0JAgVtdj8&#10;CM9O986HdFj57BKiOVCy3kmlomIP+62y5MRwUHbxTOg/uSlN+oquCoz9d4g0nj9BdNLjxCvZVXR5&#10;cWJl4O2truM8eibVKGPKSk9EBu5GFv2wH6bG7KE+I6UWxsnGTUShBfuNkh6nuqLu65FZQYl6r7Et&#10;q2w+D2sQlXmxyFGx15b9tYVpjlAV9ZSM4tbH1Qmla7jF9jUyEhv6PGYy5YrTGvmeNiusw7UevX7s&#10;/+Y7AAAA//8DAFBLAwQUAAYACAAAACEAfIN9Ct4AAAAHAQAADwAAAGRycy9kb3ducmV2LnhtbEyP&#10;wU7DMBBE70j8g7VIXBB1SNvghjgVQgLBDdoKrm68TSLsdbDdNPw95gTH0Yxm3lTryRo2og+9Iwk3&#10;swwYUuN0T62E3fbxWgALUZFWxhFK+MYA6/r8rFKldid6w3ETW5ZKKJRKQhfjUHIemg6tCjM3ICXv&#10;4LxVMUnfcu3VKZVbw/MsK7hVPaWFTg340GHzuTlaCWLxPH6El/nre1MczCpe3Y5PX17Ky4vp/g5Y&#10;xCn+heEXP6FDnZj27kg6MCMhHYkSFss5sOSucrEEtpdQiFwAryv+n7/+AQAA//8DAFBLAQItABQA&#10;BgAIAAAAIQC2gziS/gAAAOEBAAATAAAAAAAAAAAAAAAAAAAAAABbQ29udGVudF9UeXBlc10ueG1s&#10;UEsBAi0AFAAGAAgAAAAhADj9If/WAAAAlAEAAAsAAAAAAAAAAAAAAAAALwEAAF9yZWxzLy5yZWxz&#10;UEsBAi0AFAAGAAgAAAAhALC7zWAkAgAARwQAAA4AAAAAAAAAAAAAAAAALgIAAGRycy9lMm9Eb2Mu&#10;eG1sUEsBAi0AFAAGAAgAAAAhAHyDfQreAAAABwEAAA8AAAAAAAAAAAAAAAAAfgQAAGRycy9kb3du&#10;cmV2LnhtbFBLBQYAAAAABAAEAPMAAACJBQAAAAA=&#10;">
                <v:textbox>
                  <w:txbxContent>
                    <w:p w14:paraId="17E75C3A" w14:textId="77777777" w:rsidR="004F2224" w:rsidRDefault="006A4B12" w:rsidP="006A4B12">
                      <w:pPr>
                        <w:spacing w:line="276" w:lineRule="auto"/>
                        <w:rPr>
                          <w:rFonts w:ascii="Times New Roman" w:hAnsi="Times New Roman" w:cs="Times New Roman"/>
                          <w:b/>
                          <w:i/>
                        </w:rPr>
                      </w:pPr>
                      <w:r w:rsidRPr="00AA583D">
                        <w:rPr>
                          <w:rFonts w:ascii="Times New Roman" w:hAnsi="Times New Roman" w:cs="Times New Roman"/>
                          <w:b/>
                          <w:i/>
                        </w:rPr>
                        <w:t>Extract:</w:t>
                      </w:r>
                    </w:p>
                    <w:p w14:paraId="2A05DF62" w14:textId="53E23983" w:rsidR="00DD2D1B" w:rsidRDefault="00DD2D1B" w:rsidP="009F0A5C">
                      <w:pPr>
                        <w:spacing w:after="0" w:line="276" w:lineRule="auto"/>
                        <w:rPr>
                          <w:rFonts w:ascii="Times New Roman" w:hAnsi="Times New Roman" w:cs="Times New Roman"/>
                          <w:i/>
                        </w:rPr>
                      </w:pPr>
                      <w:r w:rsidRPr="00DD2D1B">
                        <w:rPr>
                          <w:rFonts w:ascii="Times New Roman" w:hAnsi="Times New Roman" w:cs="Times New Roman"/>
                          <w:b/>
                          <w:i/>
                        </w:rPr>
                        <w:t>758</w:t>
                      </w:r>
                      <w:r w:rsidR="004F2224" w:rsidRPr="004F2224">
                        <w:rPr>
                          <w:rFonts w:ascii="Times New Roman" w:hAnsi="Times New Roman" w:cs="Times New Roman"/>
                          <w:b/>
                          <w:i/>
                        </w:rPr>
                        <w:t>A</w:t>
                      </w:r>
                      <w:r w:rsidR="007266B3">
                        <w:rPr>
                          <w:rFonts w:ascii="Times New Roman" w:hAnsi="Times New Roman" w:cs="Times New Roman"/>
                          <w:b/>
                          <w:i/>
                        </w:rPr>
                        <w:t>-</w:t>
                      </w:r>
                      <w:r w:rsidR="009F0A5C">
                        <w:rPr>
                          <w:rFonts w:ascii="Times New Roman" w:hAnsi="Times New Roman" w:cs="Times New Roman"/>
                          <w:b/>
                          <w:i/>
                        </w:rPr>
                        <w:t xml:space="preserve">F: </w:t>
                      </w:r>
                      <w:r w:rsidR="004F2224" w:rsidRPr="004F2224">
                        <w:rPr>
                          <w:rFonts w:ascii="Times New Roman" w:hAnsi="Times New Roman" w:cs="Times New Roman"/>
                          <w:i/>
                        </w:rPr>
                        <w:t xml:space="preserve"> 2. An accused person has a right to consult a State witness without prior permission of the prosecuting authority in circumstances where his or her right to a fair trial would be impaired if, on the special facts of a particular case, the accused cannot properly obtain a fair trial without such consultation.</w:t>
                      </w:r>
                    </w:p>
                    <w:p w14:paraId="559F1887" w14:textId="23005F13" w:rsidR="00F64996" w:rsidRDefault="004F2224" w:rsidP="009F0A5C">
                      <w:pPr>
                        <w:spacing w:after="0" w:line="276" w:lineRule="auto"/>
                        <w:rPr>
                          <w:rFonts w:ascii="Times New Roman" w:hAnsi="Times New Roman" w:cs="Times New Roman"/>
                          <w:i/>
                        </w:rPr>
                      </w:pPr>
                      <w:r w:rsidRPr="004F2224">
                        <w:rPr>
                          <w:rFonts w:ascii="Times New Roman" w:hAnsi="Times New Roman" w:cs="Times New Roman"/>
                          <w:i/>
                        </w:rPr>
                        <w:t>3.The accused or his or her legal representative should in such circumstances approach the Attorney-General or an official authorised by the Attorney-General for consent to hold such consultation. If such consent is granted the Attorney-General or such official shall be entitled to be present at such consultation and to record what transpires during the consultation. If the consent of the Attorney-General is refused the accused shall be entitled to approach the Court for such permission to consult the relevant witness.</w:t>
                      </w:r>
                    </w:p>
                    <w:p w14:paraId="49E54533" w14:textId="77777777" w:rsidR="007266B3" w:rsidRDefault="004F2224" w:rsidP="009F0A5C">
                      <w:pPr>
                        <w:spacing w:after="0" w:line="276" w:lineRule="auto"/>
                        <w:rPr>
                          <w:rFonts w:ascii="Times New Roman" w:hAnsi="Times New Roman" w:cs="Times New Roman"/>
                          <w:i/>
                        </w:rPr>
                      </w:pPr>
                      <w:r w:rsidRPr="004F2224">
                        <w:rPr>
                          <w:rFonts w:ascii="Times New Roman" w:hAnsi="Times New Roman" w:cs="Times New Roman"/>
                          <w:i/>
                        </w:rPr>
                        <w:t>4.  The right referred to in para 2 does not entitle an accused person to compel such consultation with a State witness: - </w:t>
                      </w:r>
                    </w:p>
                    <w:p w14:paraId="2F71415D" w14:textId="77777777" w:rsidR="007266B3" w:rsidRDefault="004F2224" w:rsidP="009F0A5C">
                      <w:pPr>
                        <w:spacing w:after="0" w:line="276" w:lineRule="auto"/>
                        <w:rPr>
                          <w:rFonts w:ascii="Times New Roman" w:hAnsi="Times New Roman" w:cs="Times New Roman"/>
                          <w:i/>
                        </w:rPr>
                      </w:pPr>
                      <w:r w:rsidRPr="004F2224">
                        <w:rPr>
                          <w:rFonts w:ascii="Times New Roman" w:hAnsi="Times New Roman" w:cs="Times New Roman"/>
                          <w:i/>
                          <w:iCs/>
                        </w:rPr>
                        <w:t>(a)</w:t>
                      </w:r>
                      <w:r w:rsidRPr="004F2224">
                        <w:rPr>
                          <w:rFonts w:ascii="Times New Roman" w:hAnsi="Times New Roman" w:cs="Times New Roman"/>
                          <w:i/>
                        </w:rPr>
                        <w:t>   if such State witness declines to be so consulted; or</w:t>
                      </w:r>
                    </w:p>
                    <w:p w14:paraId="78E4B086" w14:textId="24D92F0D" w:rsidR="007266B3" w:rsidRDefault="004F2224" w:rsidP="009F0A5C">
                      <w:pPr>
                        <w:spacing w:after="0" w:line="276" w:lineRule="auto"/>
                        <w:rPr>
                          <w:rFonts w:ascii="Times New Roman" w:hAnsi="Times New Roman" w:cs="Times New Roman"/>
                          <w:i/>
                        </w:rPr>
                      </w:pPr>
                      <w:r w:rsidRPr="004F2224">
                        <w:rPr>
                          <w:rFonts w:ascii="Times New Roman" w:hAnsi="Times New Roman" w:cs="Times New Roman"/>
                          <w:i/>
                          <w:iCs/>
                        </w:rPr>
                        <w:t>(b)</w:t>
                      </w:r>
                      <w:r w:rsidRPr="004F2224">
                        <w:rPr>
                          <w:rFonts w:ascii="Times New Roman" w:hAnsi="Times New Roman" w:cs="Times New Roman"/>
                          <w:i/>
                        </w:rPr>
                        <w:t>   if it is established on behalf of the State that it has reasonable grounds to believe such consultation might lead to the intimidation of the witness or a tampering with his or her evidence or that it might lead to the disclosure of State secrets or the identity of informers or that it might otherwise prejudice the proper ends of justice.</w:t>
                      </w:r>
                    </w:p>
                    <w:p w14:paraId="3A200635" w14:textId="250C85AA" w:rsidR="004F2224" w:rsidRPr="004F2224" w:rsidRDefault="004F2224" w:rsidP="004F2224">
                      <w:pPr>
                        <w:spacing w:line="276" w:lineRule="auto"/>
                        <w:rPr>
                          <w:rFonts w:ascii="Times New Roman" w:hAnsi="Times New Roman" w:cs="Times New Roman"/>
                          <w:i/>
                        </w:rPr>
                      </w:pPr>
                      <w:r w:rsidRPr="004F2224">
                        <w:rPr>
                          <w:rFonts w:ascii="Times New Roman" w:hAnsi="Times New Roman" w:cs="Times New Roman"/>
                          <w:i/>
                        </w:rPr>
                        <w:t>5. Even in the circumstances referred to in para 4</w:t>
                      </w:r>
                      <w:r w:rsidRPr="004F2224">
                        <w:rPr>
                          <w:rFonts w:ascii="Times New Roman" w:hAnsi="Times New Roman" w:cs="Times New Roman"/>
                          <w:i/>
                          <w:iCs/>
                        </w:rPr>
                        <w:t>(b)</w:t>
                      </w:r>
                      <w:r w:rsidRPr="004F2224">
                        <w:rPr>
                          <w:rFonts w:ascii="Times New Roman" w:hAnsi="Times New Roman" w:cs="Times New Roman"/>
                          <w:i/>
                        </w:rPr>
                        <w:t xml:space="preserve">, the Court may, in the circumstances of a particular case, exercise a discretion to permit such consultation in the interest of justice subject to suitable safeguards. </w:t>
                      </w:r>
                    </w:p>
                    <w:p w14:paraId="297DA70E" w14:textId="2E20397F" w:rsidR="006A4B12" w:rsidRPr="00AA583D" w:rsidRDefault="006A4B12" w:rsidP="006A4B12">
                      <w:pPr>
                        <w:spacing w:line="276" w:lineRule="auto"/>
                        <w:rPr>
                          <w:rFonts w:ascii="Times New Roman" w:hAnsi="Times New Roman" w:cs="Times New Roman"/>
                          <w:i/>
                        </w:rPr>
                      </w:pPr>
                    </w:p>
                    <w:p w14:paraId="547E79F5" w14:textId="77777777" w:rsidR="006A4B12" w:rsidRPr="00101B97" w:rsidRDefault="006A4B12" w:rsidP="006A4B12">
                      <w:pPr>
                        <w:spacing w:line="276" w:lineRule="auto"/>
                        <w:rPr>
                          <w:i/>
                        </w:rPr>
                      </w:pPr>
                    </w:p>
                  </w:txbxContent>
                </v:textbox>
                <w10:wrap type="square" anchorx="margin"/>
              </v:shape>
            </w:pict>
          </mc:Fallback>
        </mc:AlternateContent>
      </w:r>
      <w:r w:rsidR="00FD6A82">
        <w:rPr>
          <w:rFonts w:ascii="Arial" w:hAnsi="Arial" w:cs="Arial"/>
          <w:sz w:val="24"/>
          <w:szCs w:val="24"/>
        </w:rPr>
        <w:t>The court made the following order</w:t>
      </w:r>
      <w:r w:rsidR="00184131">
        <w:rPr>
          <w:rFonts w:ascii="Arial" w:hAnsi="Arial" w:cs="Arial"/>
          <w:sz w:val="24"/>
          <w:szCs w:val="24"/>
        </w:rPr>
        <w:t xml:space="preserve"> at 758A</w:t>
      </w:r>
      <w:r>
        <w:rPr>
          <w:rFonts w:ascii="Arial" w:hAnsi="Arial" w:cs="Arial"/>
          <w:sz w:val="24"/>
          <w:szCs w:val="24"/>
        </w:rPr>
        <w:t>-F</w:t>
      </w:r>
      <w:r w:rsidR="00FD6A82">
        <w:rPr>
          <w:rFonts w:ascii="Arial" w:hAnsi="Arial" w:cs="Arial"/>
          <w:sz w:val="24"/>
          <w:szCs w:val="24"/>
        </w:rPr>
        <w:t>:</w:t>
      </w:r>
    </w:p>
    <w:p w14:paraId="6DBC9A1E" w14:textId="40261C54" w:rsidR="006A4B12" w:rsidRPr="006A4B12" w:rsidRDefault="006A4B12" w:rsidP="006A4B12">
      <w:pPr>
        <w:spacing w:after="0" w:line="276" w:lineRule="auto"/>
        <w:jc w:val="both"/>
        <w:rPr>
          <w:rFonts w:ascii="Arial" w:hAnsi="Arial" w:cs="Arial"/>
          <w:sz w:val="24"/>
          <w:szCs w:val="24"/>
        </w:rPr>
      </w:pPr>
    </w:p>
    <w:p w14:paraId="0C48DC83" w14:textId="6F737ED9" w:rsidR="00162B10" w:rsidRPr="003B4BFC" w:rsidRDefault="00AA0498" w:rsidP="004F600D">
      <w:pPr>
        <w:autoSpaceDE w:val="0"/>
        <w:autoSpaceDN w:val="0"/>
        <w:adjustRightInd w:val="0"/>
        <w:spacing w:after="0" w:line="240" w:lineRule="auto"/>
        <w:rPr>
          <w:rFonts w:ascii="Arial" w:hAnsi="Arial" w:cs="Arial"/>
          <w:b/>
          <w:bCs/>
          <w:iCs/>
          <w:sz w:val="24"/>
          <w:szCs w:val="24"/>
          <w:u w:val="single"/>
        </w:rPr>
      </w:pPr>
      <w:r w:rsidRPr="003B4BFC">
        <w:rPr>
          <w:rFonts w:ascii="Arial" w:hAnsi="Arial" w:cs="Arial"/>
          <w:b/>
          <w:bCs/>
          <w:iCs/>
          <w:sz w:val="24"/>
          <w:szCs w:val="24"/>
          <w:u w:val="single"/>
        </w:rPr>
        <w:t>PRINCIPLE:</w:t>
      </w:r>
    </w:p>
    <w:p w14:paraId="3CD64F4E" w14:textId="04AD4293" w:rsidR="00AA0498" w:rsidRPr="006E76FE" w:rsidRDefault="00AA0498" w:rsidP="004F600D">
      <w:pPr>
        <w:autoSpaceDE w:val="0"/>
        <w:autoSpaceDN w:val="0"/>
        <w:adjustRightInd w:val="0"/>
        <w:spacing w:after="0" w:line="240" w:lineRule="auto"/>
        <w:rPr>
          <w:rFonts w:ascii="Arial" w:hAnsi="Arial" w:cs="Arial"/>
          <w:bCs/>
          <w:iCs/>
          <w:sz w:val="24"/>
          <w:szCs w:val="24"/>
        </w:rPr>
      </w:pPr>
    </w:p>
    <w:p w14:paraId="033A76B3" w14:textId="1350569B" w:rsidR="00162B10" w:rsidRPr="00403495" w:rsidRDefault="00AA0498" w:rsidP="00403495">
      <w:pPr>
        <w:autoSpaceDE w:val="0"/>
        <w:autoSpaceDN w:val="0"/>
        <w:adjustRightInd w:val="0"/>
        <w:spacing w:after="0" w:line="276" w:lineRule="auto"/>
        <w:jc w:val="both"/>
        <w:rPr>
          <w:rFonts w:ascii="Arial" w:hAnsi="Arial" w:cs="Arial"/>
          <w:bCs/>
          <w:iCs/>
          <w:sz w:val="24"/>
          <w:szCs w:val="24"/>
        </w:rPr>
      </w:pPr>
      <w:r w:rsidRPr="006E76FE">
        <w:rPr>
          <w:rFonts w:ascii="Arial" w:hAnsi="Arial" w:cs="Arial"/>
          <w:bCs/>
          <w:iCs/>
          <w:sz w:val="24"/>
          <w:szCs w:val="24"/>
        </w:rPr>
        <w:t>An accused</w:t>
      </w:r>
      <w:r w:rsidR="008A711F" w:rsidRPr="006E76FE">
        <w:rPr>
          <w:rFonts w:ascii="Arial" w:hAnsi="Arial" w:cs="Arial"/>
          <w:bCs/>
          <w:iCs/>
          <w:sz w:val="24"/>
          <w:szCs w:val="24"/>
        </w:rPr>
        <w:t xml:space="preserve"> has the right to consult a State witness</w:t>
      </w:r>
      <w:r w:rsidR="00B05A7C" w:rsidRPr="006E76FE">
        <w:rPr>
          <w:rFonts w:ascii="Arial" w:hAnsi="Arial" w:cs="Arial"/>
          <w:bCs/>
          <w:iCs/>
          <w:sz w:val="24"/>
          <w:szCs w:val="24"/>
        </w:rPr>
        <w:t xml:space="preserve"> if otherwise his right to a fair trial would be impaired. The </w:t>
      </w:r>
      <w:r w:rsidR="00B515E8" w:rsidRPr="006E76FE">
        <w:rPr>
          <w:rFonts w:ascii="Arial" w:hAnsi="Arial" w:cs="Arial"/>
          <w:bCs/>
          <w:iCs/>
          <w:sz w:val="24"/>
          <w:szCs w:val="24"/>
        </w:rPr>
        <w:t>accused’s legal representative should, however</w:t>
      </w:r>
      <w:r w:rsidR="00B36FC1" w:rsidRPr="006E76FE">
        <w:rPr>
          <w:rFonts w:ascii="Arial" w:hAnsi="Arial" w:cs="Arial"/>
          <w:bCs/>
          <w:iCs/>
          <w:sz w:val="24"/>
          <w:szCs w:val="24"/>
        </w:rPr>
        <w:t xml:space="preserve">, first </w:t>
      </w:r>
      <w:r w:rsidR="00B515E8" w:rsidRPr="006E76FE">
        <w:rPr>
          <w:rFonts w:ascii="Arial" w:hAnsi="Arial" w:cs="Arial"/>
          <w:bCs/>
          <w:iCs/>
          <w:sz w:val="24"/>
          <w:szCs w:val="24"/>
        </w:rPr>
        <w:t xml:space="preserve">obtain the permission of the </w:t>
      </w:r>
      <w:r w:rsidR="00B36FC1" w:rsidRPr="006E76FE">
        <w:rPr>
          <w:rFonts w:ascii="Arial" w:hAnsi="Arial" w:cs="Arial"/>
          <w:bCs/>
          <w:iCs/>
          <w:sz w:val="24"/>
          <w:szCs w:val="24"/>
        </w:rPr>
        <w:t>attorney-general</w:t>
      </w:r>
      <w:r w:rsidR="00403495">
        <w:rPr>
          <w:rFonts w:ascii="Arial" w:hAnsi="Arial" w:cs="Arial"/>
          <w:bCs/>
          <w:iCs/>
          <w:sz w:val="24"/>
          <w:szCs w:val="24"/>
        </w:rPr>
        <w:t xml:space="preserve"> (prosecution)</w:t>
      </w:r>
      <w:r w:rsidR="00B36FC1" w:rsidRPr="006E76FE">
        <w:rPr>
          <w:rFonts w:ascii="Arial" w:hAnsi="Arial" w:cs="Arial"/>
          <w:bCs/>
          <w:iCs/>
          <w:sz w:val="24"/>
          <w:szCs w:val="24"/>
        </w:rPr>
        <w:t xml:space="preserve"> and if such permission is refused</w:t>
      </w:r>
      <w:r w:rsidR="006E76FE" w:rsidRPr="006E76FE">
        <w:rPr>
          <w:rFonts w:ascii="Arial" w:hAnsi="Arial" w:cs="Arial"/>
          <w:bCs/>
          <w:iCs/>
          <w:sz w:val="24"/>
          <w:szCs w:val="24"/>
        </w:rPr>
        <w:t xml:space="preserve">; approach the court for </w:t>
      </w:r>
      <w:r w:rsidR="003B4BFC">
        <w:rPr>
          <w:rFonts w:ascii="Arial" w:hAnsi="Arial" w:cs="Arial"/>
          <w:bCs/>
          <w:iCs/>
          <w:sz w:val="24"/>
          <w:szCs w:val="24"/>
        </w:rPr>
        <w:t xml:space="preserve">such </w:t>
      </w:r>
      <w:r w:rsidR="006E76FE" w:rsidRPr="006E76FE">
        <w:rPr>
          <w:rFonts w:ascii="Arial" w:hAnsi="Arial" w:cs="Arial"/>
          <w:bCs/>
          <w:iCs/>
          <w:sz w:val="24"/>
          <w:szCs w:val="24"/>
        </w:rPr>
        <w:t>relief.</w:t>
      </w:r>
    </w:p>
    <w:sectPr w:rsidR="00162B10" w:rsidRPr="00403495" w:rsidSect="009F746C">
      <w:headerReference w:type="default" r:id="rId7"/>
      <w:footerReference w:type="default" r:id="rId8"/>
      <w:pgSz w:w="12240" w:h="15840"/>
      <w:pgMar w:top="1440" w:right="1440" w:bottom="1440" w:left="1440" w:header="288" w:footer="144" w:gutter="0"/>
      <w:pgNumType w:start="36"/>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FB1433" w14:textId="77777777" w:rsidR="000D2068" w:rsidRDefault="000D2068" w:rsidP="0080781F">
      <w:pPr>
        <w:spacing w:after="0" w:line="240" w:lineRule="auto"/>
      </w:pPr>
      <w:r>
        <w:separator/>
      </w:r>
    </w:p>
  </w:endnote>
  <w:endnote w:type="continuationSeparator" w:id="0">
    <w:p w14:paraId="6FCE9CD9" w14:textId="77777777" w:rsidR="000D2068" w:rsidRDefault="000D2068" w:rsidP="008078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0405133"/>
      <w:docPartObj>
        <w:docPartGallery w:val="Page Numbers (Bottom of Page)"/>
        <w:docPartUnique/>
      </w:docPartObj>
    </w:sdtPr>
    <w:sdtEndPr>
      <w:rPr>
        <w:noProof/>
      </w:rPr>
    </w:sdtEndPr>
    <w:sdtContent>
      <w:p w14:paraId="6F1BA110" w14:textId="7AD65C82" w:rsidR="009F746C" w:rsidRDefault="009F746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CB445E" w14:textId="77777777" w:rsidR="009F746C" w:rsidRDefault="009F74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DD25B1" w14:textId="77777777" w:rsidR="000D2068" w:rsidRDefault="000D2068" w:rsidP="0080781F">
      <w:pPr>
        <w:spacing w:after="0" w:line="240" w:lineRule="auto"/>
      </w:pPr>
      <w:r>
        <w:separator/>
      </w:r>
    </w:p>
  </w:footnote>
  <w:footnote w:type="continuationSeparator" w:id="0">
    <w:p w14:paraId="3F64A34A" w14:textId="77777777" w:rsidR="000D2068" w:rsidRDefault="000D2068" w:rsidP="008078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3EC19A" w14:textId="5DFD3C01" w:rsidR="0080781F" w:rsidRDefault="000D2068">
    <w:pPr>
      <w:pStyle w:val="Header"/>
      <w:tabs>
        <w:tab w:val="clear" w:pos="4680"/>
        <w:tab w:val="clear" w:pos="9360"/>
      </w:tabs>
      <w:jc w:val="right"/>
      <w:rPr>
        <w:color w:val="4472C4" w:themeColor="accent1"/>
      </w:rPr>
    </w:pPr>
    <w:sdt>
      <w:sdtPr>
        <w:alias w:val="Title"/>
        <w:tag w:val=""/>
        <w:id w:val="664756013"/>
        <w:placeholder>
          <w:docPart w:val="99B8747D697D4B1793351B7BAA8B920B"/>
        </w:placeholder>
        <w:dataBinding w:prefixMappings="xmlns:ns0='http://purl.org/dc/elements/1.1/' xmlns:ns1='http://schemas.openxmlformats.org/package/2006/metadata/core-properties' " w:xpath="/ns1:coreProperties[1]/ns0:title[1]" w:storeItemID="{6C3C8BC8-F283-45AE-878A-BAB7291924A1}"/>
        <w:text/>
      </w:sdtPr>
      <w:sdtEndPr/>
      <w:sdtContent>
        <w:r w:rsidR="002615EB" w:rsidRPr="002615EB">
          <w:t>Interviewing Witnesses for the Prosecution</w:t>
        </w:r>
      </w:sdtContent>
    </w:sdt>
    <w:r w:rsidR="0080781F" w:rsidRPr="002615EB">
      <w:t xml:space="preserve">| </w:t>
    </w:r>
    <w:sdt>
      <w:sdtPr>
        <w:alias w:val="Author"/>
        <w:tag w:val=""/>
        <w:id w:val="-1677181147"/>
        <w:placeholder>
          <w:docPart w:val="0C991346975F46B3BD3C008DB2D51C3D"/>
        </w:placeholder>
        <w:dataBinding w:prefixMappings="xmlns:ns0='http://purl.org/dc/elements/1.1/' xmlns:ns1='http://schemas.openxmlformats.org/package/2006/metadata/core-properties' " w:xpath="/ns1:coreProperties[1]/ns0:creator[1]" w:storeItemID="{6C3C8BC8-F283-45AE-878A-BAB7291924A1}"/>
        <w:text/>
      </w:sdtPr>
      <w:sdtEndPr/>
      <w:sdtContent>
        <w:r w:rsidR="002615EB" w:rsidRPr="002615EB">
          <w:t>Ethics</w:t>
        </w:r>
      </w:sdtContent>
    </w:sdt>
  </w:p>
  <w:p w14:paraId="3B5DA06F" w14:textId="77777777" w:rsidR="0080781F" w:rsidRDefault="008078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9C7DF4"/>
    <w:multiLevelType w:val="hybridMultilevel"/>
    <w:tmpl w:val="98767612"/>
    <w:lvl w:ilvl="0" w:tplc="04090001">
      <w:start w:val="1"/>
      <w:numFmt w:val="bullet"/>
      <w:lvlText w:val=""/>
      <w:lvlJc w:val="left"/>
      <w:pPr>
        <w:tabs>
          <w:tab w:val="num" w:pos="1741"/>
        </w:tabs>
        <w:ind w:left="1741" w:hanging="360"/>
      </w:pPr>
      <w:rPr>
        <w:rFonts w:ascii="Symbol" w:hAnsi="Symbol" w:hint="default"/>
      </w:rPr>
    </w:lvl>
    <w:lvl w:ilvl="1" w:tplc="04090003">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00D"/>
    <w:rsid w:val="00032144"/>
    <w:rsid w:val="00055E91"/>
    <w:rsid w:val="000D2068"/>
    <w:rsid w:val="000D7EE7"/>
    <w:rsid w:val="000F5D29"/>
    <w:rsid w:val="001231AE"/>
    <w:rsid w:val="0012494C"/>
    <w:rsid w:val="001526CA"/>
    <w:rsid w:val="00157BE7"/>
    <w:rsid w:val="00162B10"/>
    <w:rsid w:val="00176D98"/>
    <w:rsid w:val="00184131"/>
    <w:rsid w:val="002615EB"/>
    <w:rsid w:val="00261D46"/>
    <w:rsid w:val="00282DF1"/>
    <w:rsid w:val="002D7C47"/>
    <w:rsid w:val="002F2C38"/>
    <w:rsid w:val="00317660"/>
    <w:rsid w:val="0033594D"/>
    <w:rsid w:val="00337E32"/>
    <w:rsid w:val="003B4BFC"/>
    <w:rsid w:val="003F21C3"/>
    <w:rsid w:val="00403495"/>
    <w:rsid w:val="00412394"/>
    <w:rsid w:val="0044098C"/>
    <w:rsid w:val="004664B1"/>
    <w:rsid w:val="00483732"/>
    <w:rsid w:val="004B7DD4"/>
    <w:rsid w:val="004F2224"/>
    <w:rsid w:val="004F600D"/>
    <w:rsid w:val="00502497"/>
    <w:rsid w:val="005C6CB6"/>
    <w:rsid w:val="00606939"/>
    <w:rsid w:val="00626104"/>
    <w:rsid w:val="00643915"/>
    <w:rsid w:val="00680582"/>
    <w:rsid w:val="006855FE"/>
    <w:rsid w:val="006A284A"/>
    <w:rsid w:val="006A4B12"/>
    <w:rsid w:val="006E568B"/>
    <w:rsid w:val="006E76FE"/>
    <w:rsid w:val="006F324B"/>
    <w:rsid w:val="007266B3"/>
    <w:rsid w:val="00726EAC"/>
    <w:rsid w:val="0077010D"/>
    <w:rsid w:val="00794070"/>
    <w:rsid w:val="00796858"/>
    <w:rsid w:val="0080781F"/>
    <w:rsid w:val="00852E96"/>
    <w:rsid w:val="008A1C81"/>
    <w:rsid w:val="008A711F"/>
    <w:rsid w:val="009330DE"/>
    <w:rsid w:val="00944751"/>
    <w:rsid w:val="00954EB8"/>
    <w:rsid w:val="009657C3"/>
    <w:rsid w:val="00986E20"/>
    <w:rsid w:val="009D5D4C"/>
    <w:rsid w:val="009F0A5C"/>
    <w:rsid w:val="009F3DF5"/>
    <w:rsid w:val="009F746C"/>
    <w:rsid w:val="00A83B89"/>
    <w:rsid w:val="00AA0498"/>
    <w:rsid w:val="00AA583D"/>
    <w:rsid w:val="00B05A7C"/>
    <w:rsid w:val="00B17560"/>
    <w:rsid w:val="00B23C4A"/>
    <w:rsid w:val="00B36FC1"/>
    <w:rsid w:val="00B515E8"/>
    <w:rsid w:val="00BB2161"/>
    <w:rsid w:val="00BB4F40"/>
    <w:rsid w:val="00BC0E86"/>
    <w:rsid w:val="00BF5001"/>
    <w:rsid w:val="00C00650"/>
    <w:rsid w:val="00C31B31"/>
    <w:rsid w:val="00C50AB3"/>
    <w:rsid w:val="00C64C14"/>
    <w:rsid w:val="00C9582B"/>
    <w:rsid w:val="00CB5C3D"/>
    <w:rsid w:val="00CC7E58"/>
    <w:rsid w:val="00CF6383"/>
    <w:rsid w:val="00D000AA"/>
    <w:rsid w:val="00D05127"/>
    <w:rsid w:val="00D07026"/>
    <w:rsid w:val="00D569DE"/>
    <w:rsid w:val="00D62CB0"/>
    <w:rsid w:val="00D734A8"/>
    <w:rsid w:val="00DD2D1B"/>
    <w:rsid w:val="00E005A9"/>
    <w:rsid w:val="00E31DF1"/>
    <w:rsid w:val="00EB71B9"/>
    <w:rsid w:val="00EC5556"/>
    <w:rsid w:val="00ED3652"/>
    <w:rsid w:val="00EE09D7"/>
    <w:rsid w:val="00F31E97"/>
    <w:rsid w:val="00F43179"/>
    <w:rsid w:val="00F568F9"/>
    <w:rsid w:val="00F64996"/>
    <w:rsid w:val="00F73AF3"/>
    <w:rsid w:val="00FD6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98646"/>
  <w15:chartTrackingRefBased/>
  <w15:docId w15:val="{0992E627-39D9-4C9E-B83F-3D6CEF166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78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781F"/>
  </w:style>
  <w:style w:type="paragraph" w:styleId="Footer">
    <w:name w:val="footer"/>
    <w:basedOn w:val="Normal"/>
    <w:link w:val="FooterChar"/>
    <w:uiPriority w:val="99"/>
    <w:unhideWhenUsed/>
    <w:rsid w:val="008078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781F"/>
  </w:style>
  <w:style w:type="character" w:styleId="Hyperlink">
    <w:name w:val="Hyperlink"/>
    <w:basedOn w:val="DefaultParagraphFont"/>
    <w:uiPriority w:val="99"/>
    <w:unhideWhenUsed/>
    <w:rsid w:val="00F43179"/>
    <w:rPr>
      <w:color w:val="0563C1" w:themeColor="hyperlink"/>
      <w:u w:val="single"/>
    </w:rPr>
  </w:style>
  <w:style w:type="character" w:styleId="UnresolvedMention">
    <w:name w:val="Unresolved Mention"/>
    <w:basedOn w:val="DefaultParagraphFont"/>
    <w:uiPriority w:val="99"/>
    <w:semiHidden/>
    <w:unhideWhenUsed/>
    <w:rsid w:val="00F43179"/>
    <w:rPr>
      <w:color w:val="605E5C"/>
      <w:shd w:val="clear" w:color="auto" w:fill="E1DFDD"/>
    </w:rPr>
  </w:style>
  <w:style w:type="paragraph" w:styleId="BalloonText">
    <w:name w:val="Balloon Text"/>
    <w:basedOn w:val="Normal"/>
    <w:link w:val="BalloonTextChar"/>
    <w:uiPriority w:val="99"/>
    <w:semiHidden/>
    <w:unhideWhenUsed/>
    <w:rsid w:val="009F74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746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940885">
      <w:bodyDiv w:val="1"/>
      <w:marLeft w:val="0"/>
      <w:marRight w:val="0"/>
      <w:marTop w:val="0"/>
      <w:marBottom w:val="0"/>
      <w:divBdr>
        <w:top w:val="none" w:sz="0" w:space="0" w:color="auto"/>
        <w:left w:val="none" w:sz="0" w:space="0" w:color="auto"/>
        <w:bottom w:val="none" w:sz="0" w:space="0" w:color="auto"/>
        <w:right w:val="none" w:sz="0" w:space="0" w:color="auto"/>
      </w:divBdr>
    </w:div>
    <w:div w:id="1578517605">
      <w:bodyDiv w:val="1"/>
      <w:marLeft w:val="0"/>
      <w:marRight w:val="0"/>
      <w:marTop w:val="0"/>
      <w:marBottom w:val="0"/>
      <w:divBdr>
        <w:top w:val="none" w:sz="0" w:space="0" w:color="auto"/>
        <w:left w:val="none" w:sz="0" w:space="0" w:color="auto"/>
        <w:bottom w:val="none" w:sz="0" w:space="0" w:color="auto"/>
        <w:right w:val="none" w:sz="0" w:space="0" w:color="auto"/>
      </w:divBdr>
      <w:divsChild>
        <w:div w:id="586422765">
          <w:marLeft w:val="0"/>
          <w:marRight w:val="0"/>
          <w:marTop w:val="120"/>
          <w:marBottom w:val="0"/>
          <w:divBdr>
            <w:top w:val="none" w:sz="0" w:space="0" w:color="auto"/>
            <w:left w:val="none" w:sz="0" w:space="0" w:color="auto"/>
            <w:bottom w:val="none" w:sz="0" w:space="0" w:color="auto"/>
            <w:right w:val="none" w:sz="0" w:space="0" w:color="auto"/>
          </w:divBdr>
        </w:div>
        <w:div w:id="744107505">
          <w:marLeft w:val="0"/>
          <w:marRight w:val="0"/>
          <w:marTop w:val="120"/>
          <w:marBottom w:val="0"/>
          <w:divBdr>
            <w:top w:val="none" w:sz="0" w:space="0" w:color="auto"/>
            <w:left w:val="none" w:sz="0" w:space="0" w:color="auto"/>
            <w:bottom w:val="none" w:sz="0" w:space="0" w:color="auto"/>
            <w:right w:val="none" w:sz="0" w:space="0" w:color="auto"/>
          </w:divBdr>
        </w:div>
        <w:div w:id="308822432">
          <w:marLeft w:val="0"/>
          <w:marRight w:val="0"/>
          <w:marTop w:val="120"/>
          <w:marBottom w:val="0"/>
          <w:divBdr>
            <w:top w:val="none" w:sz="0" w:space="0" w:color="auto"/>
            <w:left w:val="none" w:sz="0" w:space="0" w:color="auto"/>
            <w:bottom w:val="none" w:sz="0" w:space="0" w:color="auto"/>
            <w:right w:val="none" w:sz="0" w:space="0" w:color="auto"/>
          </w:divBdr>
        </w:div>
        <w:div w:id="843206286">
          <w:marLeft w:val="0"/>
          <w:marRight w:val="0"/>
          <w:marTop w:val="160"/>
          <w:marBottom w:val="16"/>
          <w:divBdr>
            <w:top w:val="single" w:sz="8" w:space="2" w:color="808080"/>
            <w:left w:val="none" w:sz="0" w:space="0" w:color="auto"/>
            <w:bottom w:val="none" w:sz="0" w:space="0" w:color="auto"/>
            <w:right w:val="none" w:sz="0" w:space="0" w:color="auto"/>
          </w:divBdr>
        </w:div>
        <w:div w:id="743338935">
          <w:marLeft w:val="0"/>
          <w:marRight w:val="0"/>
          <w:marTop w:val="120"/>
          <w:marBottom w:val="0"/>
          <w:divBdr>
            <w:top w:val="none" w:sz="0" w:space="0" w:color="auto"/>
            <w:left w:val="none" w:sz="0" w:space="0" w:color="auto"/>
            <w:bottom w:val="none" w:sz="0" w:space="0" w:color="auto"/>
            <w:right w:val="none" w:sz="0" w:space="0" w:color="auto"/>
          </w:divBdr>
        </w:div>
        <w:div w:id="1533566732">
          <w:marLeft w:val="0"/>
          <w:marRight w:val="0"/>
          <w:marTop w:val="120"/>
          <w:marBottom w:val="0"/>
          <w:divBdr>
            <w:top w:val="none" w:sz="0" w:space="0" w:color="auto"/>
            <w:left w:val="none" w:sz="0" w:space="0" w:color="auto"/>
            <w:bottom w:val="none" w:sz="0" w:space="0" w:color="auto"/>
            <w:right w:val="none" w:sz="0" w:space="0" w:color="auto"/>
          </w:divBdr>
        </w:div>
        <w:div w:id="1674648776">
          <w:marLeft w:val="0"/>
          <w:marRight w:val="0"/>
          <w:marTop w:val="120"/>
          <w:marBottom w:val="0"/>
          <w:divBdr>
            <w:top w:val="none" w:sz="0" w:space="0" w:color="auto"/>
            <w:left w:val="none" w:sz="0" w:space="0" w:color="auto"/>
            <w:bottom w:val="none" w:sz="0" w:space="0" w:color="auto"/>
            <w:right w:val="none" w:sz="0" w:space="0" w:color="auto"/>
          </w:divBdr>
        </w:div>
        <w:div w:id="1173254090">
          <w:marLeft w:val="0"/>
          <w:marRight w:val="0"/>
          <w:marTop w:val="120"/>
          <w:marBottom w:val="0"/>
          <w:divBdr>
            <w:top w:val="none" w:sz="0" w:space="0" w:color="auto"/>
            <w:left w:val="none" w:sz="0" w:space="0" w:color="auto"/>
            <w:bottom w:val="none" w:sz="0" w:space="0" w:color="auto"/>
            <w:right w:val="none" w:sz="0" w:space="0" w:color="auto"/>
          </w:divBdr>
        </w:div>
        <w:div w:id="1081752265">
          <w:marLeft w:val="0"/>
          <w:marRight w:val="0"/>
          <w:marTop w:val="120"/>
          <w:marBottom w:val="0"/>
          <w:divBdr>
            <w:top w:val="none" w:sz="0" w:space="0" w:color="auto"/>
            <w:left w:val="none" w:sz="0" w:space="0" w:color="auto"/>
            <w:bottom w:val="none" w:sz="0" w:space="0" w:color="auto"/>
            <w:right w:val="none" w:sz="0" w:space="0" w:color="auto"/>
          </w:divBdr>
        </w:div>
        <w:div w:id="1010253895">
          <w:marLeft w:val="0"/>
          <w:marRight w:val="0"/>
          <w:marTop w:val="120"/>
          <w:marBottom w:val="0"/>
          <w:divBdr>
            <w:top w:val="none" w:sz="0" w:space="0" w:color="auto"/>
            <w:left w:val="none" w:sz="0" w:space="0" w:color="auto"/>
            <w:bottom w:val="none" w:sz="0" w:space="0" w:color="auto"/>
            <w:right w:val="none" w:sz="0" w:space="0" w:color="auto"/>
          </w:divBdr>
        </w:div>
        <w:div w:id="2016691375">
          <w:marLeft w:val="1134"/>
          <w:marRight w:val="0"/>
          <w:marTop w:val="120"/>
          <w:marBottom w:val="0"/>
          <w:divBdr>
            <w:top w:val="none" w:sz="0" w:space="0" w:color="auto"/>
            <w:left w:val="none" w:sz="0" w:space="0" w:color="auto"/>
            <w:bottom w:val="none" w:sz="0" w:space="0" w:color="auto"/>
            <w:right w:val="none" w:sz="0" w:space="0" w:color="auto"/>
          </w:divBdr>
        </w:div>
        <w:div w:id="142891048">
          <w:marLeft w:val="0"/>
          <w:marRight w:val="0"/>
          <w:marTop w:val="160"/>
          <w:marBottom w:val="16"/>
          <w:divBdr>
            <w:top w:val="single" w:sz="8" w:space="2" w:color="808080"/>
            <w:left w:val="none" w:sz="0" w:space="0" w:color="auto"/>
            <w:bottom w:val="none" w:sz="0" w:space="0" w:color="auto"/>
            <w:right w:val="none" w:sz="0" w:space="0" w:color="auto"/>
          </w:divBdr>
        </w:div>
        <w:div w:id="519516973">
          <w:marLeft w:val="0"/>
          <w:marRight w:val="0"/>
          <w:marTop w:val="120"/>
          <w:marBottom w:val="0"/>
          <w:divBdr>
            <w:top w:val="none" w:sz="0" w:space="0" w:color="auto"/>
            <w:left w:val="none" w:sz="0" w:space="0" w:color="auto"/>
            <w:bottom w:val="none" w:sz="0" w:space="0" w:color="auto"/>
            <w:right w:val="none" w:sz="0" w:space="0" w:color="auto"/>
          </w:divBdr>
        </w:div>
        <w:div w:id="1627274690">
          <w:marLeft w:val="0"/>
          <w:marRight w:val="0"/>
          <w:marTop w:val="120"/>
          <w:marBottom w:val="0"/>
          <w:divBdr>
            <w:top w:val="none" w:sz="0" w:space="0" w:color="auto"/>
            <w:left w:val="none" w:sz="0" w:space="0" w:color="auto"/>
            <w:bottom w:val="none" w:sz="0" w:space="0" w:color="auto"/>
            <w:right w:val="none" w:sz="0" w:space="0" w:color="auto"/>
          </w:divBdr>
        </w:div>
        <w:div w:id="1125081834">
          <w:marLeft w:val="0"/>
          <w:marRight w:val="0"/>
          <w:marTop w:val="120"/>
          <w:marBottom w:val="0"/>
          <w:divBdr>
            <w:top w:val="none" w:sz="0" w:space="0" w:color="auto"/>
            <w:left w:val="none" w:sz="0" w:space="0" w:color="auto"/>
            <w:bottom w:val="none" w:sz="0" w:space="0" w:color="auto"/>
            <w:right w:val="none" w:sz="0" w:space="0" w:color="auto"/>
          </w:divBdr>
        </w:div>
        <w:div w:id="1175606372">
          <w:marLeft w:val="0"/>
          <w:marRight w:val="0"/>
          <w:marTop w:val="120"/>
          <w:marBottom w:val="0"/>
          <w:divBdr>
            <w:top w:val="none" w:sz="0" w:space="0" w:color="auto"/>
            <w:left w:val="none" w:sz="0" w:space="0" w:color="auto"/>
            <w:bottom w:val="none" w:sz="0" w:space="0" w:color="auto"/>
            <w:right w:val="none" w:sz="0" w:space="0" w:color="auto"/>
          </w:divBdr>
        </w:div>
        <w:div w:id="664666268">
          <w:marLeft w:val="0"/>
          <w:marRight w:val="0"/>
          <w:marTop w:val="120"/>
          <w:marBottom w:val="0"/>
          <w:divBdr>
            <w:top w:val="none" w:sz="0" w:space="0" w:color="auto"/>
            <w:left w:val="none" w:sz="0" w:space="0" w:color="auto"/>
            <w:bottom w:val="none" w:sz="0" w:space="0" w:color="auto"/>
            <w:right w:val="none" w:sz="0" w:space="0" w:color="auto"/>
          </w:divBdr>
        </w:div>
      </w:divsChild>
    </w:div>
    <w:div w:id="2019311057">
      <w:bodyDiv w:val="1"/>
      <w:marLeft w:val="0"/>
      <w:marRight w:val="0"/>
      <w:marTop w:val="0"/>
      <w:marBottom w:val="0"/>
      <w:divBdr>
        <w:top w:val="none" w:sz="0" w:space="0" w:color="auto"/>
        <w:left w:val="none" w:sz="0" w:space="0" w:color="auto"/>
        <w:bottom w:val="none" w:sz="0" w:space="0" w:color="auto"/>
        <w:right w:val="none" w:sz="0" w:space="0" w:color="auto"/>
      </w:divBdr>
      <w:divsChild>
        <w:div w:id="723989859">
          <w:marLeft w:val="567"/>
          <w:marRight w:val="0"/>
          <w:marTop w:val="120"/>
          <w:marBottom w:val="0"/>
          <w:divBdr>
            <w:top w:val="none" w:sz="0" w:space="0" w:color="auto"/>
            <w:left w:val="none" w:sz="0" w:space="0" w:color="auto"/>
            <w:bottom w:val="none" w:sz="0" w:space="0" w:color="auto"/>
            <w:right w:val="none" w:sz="0" w:space="0" w:color="auto"/>
          </w:divBdr>
        </w:div>
        <w:div w:id="1049263056">
          <w:marLeft w:val="0"/>
          <w:marRight w:val="0"/>
          <w:marTop w:val="160"/>
          <w:marBottom w:val="16"/>
          <w:divBdr>
            <w:top w:val="single" w:sz="8" w:space="2" w:color="808080"/>
            <w:left w:val="none" w:sz="0" w:space="0" w:color="auto"/>
            <w:bottom w:val="none" w:sz="0" w:space="0" w:color="auto"/>
            <w:right w:val="none" w:sz="0" w:space="0" w:color="auto"/>
          </w:divBdr>
        </w:div>
        <w:div w:id="430007184">
          <w:marLeft w:val="0"/>
          <w:marRight w:val="0"/>
          <w:marTop w:val="120"/>
          <w:marBottom w:val="0"/>
          <w:divBdr>
            <w:top w:val="none" w:sz="0" w:space="0" w:color="auto"/>
            <w:left w:val="none" w:sz="0" w:space="0" w:color="auto"/>
            <w:bottom w:val="none" w:sz="0" w:space="0" w:color="auto"/>
            <w:right w:val="none" w:sz="0" w:space="0" w:color="auto"/>
          </w:divBdr>
        </w:div>
        <w:div w:id="1097754060">
          <w:marLeft w:val="567"/>
          <w:marRight w:val="0"/>
          <w:marTop w:val="120"/>
          <w:marBottom w:val="0"/>
          <w:divBdr>
            <w:top w:val="none" w:sz="0" w:space="0" w:color="auto"/>
            <w:left w:val="none" w:sz="0" w:space="0" w:color="auto"/>
            <w:bottom w:val="none" w:sz="0" w:space="0" w:color="auto"/>
            <w:right w:val="none" w:sz="0" w:space="0" w:color="auto"/>
          </w:divBdr>
        </w:div>
        <w:div w:id="1628925369">
          <w:marLeft w:val="567"/>
          <w:marRight w:val="0"/>
          <w:marTop w:val="120"/>
          <w:marBottom w:val="0"/>
          <w:divBdr>
            <w:top w:val="none" w:sz="0" w:space="0" w:color="auto"/>
            <w:left w:val="none" w:sz="0" w:space="0" w:color="auto"/>
            <w:bottom w:val="none" w:sz="0" w:space="0" w:color="auto"/>
            <w:right w:val="none" w:sz="0" w:space="0" w:color="auto"/>
          </w:divBdr>
        </w:div>
        <w:div w:id="2091997999">
          <w:marLeft w:val="567"/>
          <w:marRight w:val="0"/>
          <w:marTop w:val="120"/>
          <w:marBottom w:val="0"/>
          <w:divBdr>
            <w:top w:val="none" w:sz="0" w:space="0" w:color="auto"/>
            <w:left w:val="none" w:sz="0" w:space="0" w:color="auto"/>
            <w:bottom w:val="none" w:sz="0" w:space="0" w:color="auto"/>
            <w:right w:val="none" w:sz="0" w:space="0" w:color="auto"/>
          </w:divBdr>
        </w:div>
        <w:div w:id="742600979">
          <w:marLeft w:val="1984"/>
          <w:marRight w:val="0"/>
          <w:marTop w:val="120"/>
          <w:marBottom w:val="0"/>
          <w:divBdr>
            <w:top w:val="none" w:sz="0" w:space="0" w:color="auto"/>
            <w:left w:val="none" w:sz="0" w:space="0" w:color="auto"/>
            <w:bottom w:val="none" w:sz="0" w:space="0" w:color="auto"/>
            <w:right w:val="none" w:sz="0" w:space="0" w:color="auto"/>
          </w:divBdr>
        </w:div>
        <w:div w:id="1212380467">
          <w:marLeft w:val="1984"/>
          <w:marRight w:val="0"/>
          <w:marTop w:val="120"/>
          <w:marBottom w:val="0"/>
          <w:divBdr>
            <w:top w:val="none" w:sz="0" w:space="0" w:color="auto"/>
            <w:left w:val="none" w:sz="0" w:space="0" w:color="auto"/>
            <w:bottom w:val="none" w:sz="0" w:space="0" w:color="auto"/>
            <w:right w:val="none" w:sz="0" w:space="0" w:color="auto"/>
          </w:divBdr>
        </w:div>
        <w:div w:id="1234390134">
          <w:marLeft w:val="567"/>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9B8747D697D4B1793351B7BAA8B920B"/>
        <w:category>
          <w:name w:val="General"/>
          <w:gallery w:val="placeholder"/>
        </w:category>
        <w:types>
          <w:type w:val="bbPlcHdr"/>
        </w:types>
        <w:behaviors>
          <w:behavior w:val="content"/>
        </w:behaviors>
        <w:guid w:val="{547DAB82-4D6E-4FFA-AA9B-7F2873001D99}"/>
      </w:docPartPr>
      <w:docPartBody>
        <w:p w:rsidR="00932C17" w:rsidRDefault="003D7DAC" w:rsidP="003D7DAC">
          <w:pPr>
            <w:pStyle w:val="99B8747D697D4B1793351B7BAA8B920B"/>
          </w:pPr>
          <w:r>
            <w:rPr>
              <w:color w:val="4472C4" w:themeColor="accent1"/>
            </w:rPr>
            <w:t>[Document title]</w:t>
          </w:r>
        </w:p>
      </w:docPartBody>
    </w:docPart>
    <w:docPart>
      <w:docPartPr>
        <w:name w:val="0C991346975F46B3BD3C008DB2D51C3D"/>
        <w:category>
          <w:name w:val="General"/>
          <w:gallery w:val="placeholder"/>
        </w:category>
        <w:types>
          <w:type w:val="bbPlcHdr"/>
        </w:types>
        <w:behaviors>
          <w:behavior w:val="content"/>
        </w:behaviors>
        <w:guid w:val="{850BA868-52A1-4407-B4CF-D2BE74284641}"/>
      </w:docPartPr>
      <w:docPartBody>
        <w:p w:rsidR="00932C17" w:rsidRDefault="003D7DAC" w:rsidP="003D7DAC">
          <w:pPr>
            <w:pStyle w:val="0C991346975F46B3BD3C008DB2D51C3D"/>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DAC"/>
    <w:rsid w:val="003D7DAC"/>
    <w:rsid w:val="00637220"/>
    <w:rsid w:val="00804278"/>
    <w:rsid w:val="00932C17"/>
    <w:rsid w:val="00F955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9B8747D697D4B1793351B7BAA8B920B">
    <w:name w:val="99B8747D697D4B1793351B7BAA8B920B"/>
    <w:rsid w:val="003D7DAC"/>
  </w:style>
  <w:style w:type="paragraph" w:customStyle="1" w:styleId="0C991346975F46B3BD3C008DB2D51C3D">
    <w:name w:val="0C991346975F46B3BD3C008DB2D51C3D"/>
    <w:rsid w:val="003D7DA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Pages>
  <Words>1011</Words>
  <Characters>5769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Interviewing Witnesses for the Prosecution</vt:lpstr>
    </vt:vector>
  </TitlesOfParts>
  <Company/>
  <LinksUpToDate>false</LinksUpToDate>
  <CharactersWithSpaces>6767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Interviewing Witnesses for the Prosecution</dc:title>
  <dc:subject/>
  <dc:creator>Ethics</dc:creator>
  <cp:keywords/>
  <dc:description/>
  <cp:lastModifiedBy>Chantal Dittberner</cp:lastModifiedBy>
  <cp:revision>96</cp:revision>
  <cp:lastPrinted>2019-01-10T11:13:00Z</cp:lastPrinted>
  <dcterms:created xsi:type="dcterms:W3CDTF">2018-12-13T09:24:00Z</dcterms:created>
  <dcterms:modified xsi:type="dcterms:W3CDTF">2019-01-10T11:14:00Z</dcterms:modified>
</cp:coreProperties>
</file>