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6E4A3" w14:textId="54F14A00" w:rsidR="003C38C7" w:rsidRPr="003C38C7" w:rsidRDefault="001F7BF6" w:rsidP="003C38C7">
      <w:pPr>
        <w:spacing w:after="0" w:line="276" w:lineRule="auto"/>
        <w:jc w:val="both"/>
        <w:rPr>
          <w:rFonts w:ascii="Arial" w:hAnsi="Arial" w:cs="Arial"/>
          <w:sz w:val="28"/>
          <w:szCs w:val="28"/>
          <w:u w:val="single"/>
        </w:rPr>
      </w:pPr>
      <w:r w:rsidRPr="003C38C7">
        <w:rPr>
          <w:rFonts w:ascii="Arial" w:hAnsi="Arial" w:cs="Arial"/>
          <w:noProof/>
          <w:sz w:val="24"/>
          <w:szCs w:val="24"/>
        </w:rPr>
        <mc:AlternateContent>
          <mc:Choice Requires="wps">
            <w:drawing>
              <wp:anchor distT="45720" distB="45720" distL="114300" distR="114300" simplePos="0" relativeHeight="251660288" behindDoc="0" locked="0" layoutInCell="1" allowOverlap="1" wp14:anchorId="07A6B7F0" wp14:editId="2D157010">
                <wp:simplePos x="0" y="0"/>
                <wp:positionH relativeFrom="margin">
                  <wp:align>right</wp:align>
                </wp:positionH>
                <wp:positionV relativeFrom="paragraph">
                  <wp:posOffset>0</wp:posOffset>
                </wp:positionV>
                <wp:extent cx="2581275" cy="5248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5248275"/>
                        </a:xfrm>
                        <a:prstGeom prst="rect">
                          <a:avLst/>
                        </a:prstGeom>
                        <a:solidFill>
                          <a:srgbClr val="FFFFFF"/>
                        </a:solidFill>
                        <a:ln w="9525">
                          <a:solidFill>
                            <a:srgbClr val="000000"/>
                          </a:solidFill>
                          <a:miter lim="800000"/>
                          <a:headEnd/>
                          <a:tailEnd/>
                        </a:ln>
                      </wps:spPr>
                      <wps:txbx>
                        <w:txbxContent>
                          <w:p w14:paraId="4F4C7F7B" w14:textId="77777777" w:rsidR="002E5276" w:rsidRDefault="003C38C7" w:rsidP="002E5276">
                            <w:pPr>
                              <w:spacing w:after="0" w:line="276" w:lineRule="auto"/>
                              <w:rPr>
                                <w:rFonts w:ascii="Times New Roman" w:hAnsi="Times New Roman" w:cs="Times New Roman"/>
                                <w:b/>
                                <w:i/>
                              </w:rPr>
                            </w:pPr>
                            <w:r w:rsidRPr="00D87779">
                              <w:rPr>
                                <w:rFonts w:ascii="Times New Roman" w:hAnsi="Times New Roman" w:cs="Times New Roman"/>
                                <w:b/>
                                <w:i/>
                              </w:rPr>
                              <w:t>Extract:</w:t>
                            </w:r>
                          </w:p>
                          <w:p w14:paraId="721F05DB" w14:textId="44AD8177" w:rsidR="00D87779" w:rsidRPr="002E5276" w:rsidRDefault="00AC5761" w:rsidP="002E5276">
                            <w:pPr>
                              <w:spacing w:after="0" w:line="276" w:lineRule="auto"/>
                              <w:rPr>
                                <w:rFonts w:ascii="Times New Roman" w:hAnsi="Times New Roman" w:cs="Times New Roman"/>
                                <w:b/>
                                <w:i/>
                              </w:rPr>
                            </w:pPr>
                            <w:r>
                              <w:rPr>
                                <w:rFonts w:ascii="Times New Roman" w:hAnsi="Times New Roman" w:cs="Times New Roman"/>
                                <w:b/>
                                <w:i/>
                              </w:rPr>
                              <w:t>337A</w:t>
                            </w:r>
                            <w:r w:rsidR="003C38C7" w:rsidRPr="00D87779">
                              <w:rPr>
                                <w:rFonts w:ascii="Times New Roman" w:hAnsi="Times New Roman" w:cs="Times New Roman"/>
                                <w:b/>
                                <w:i/>
                              </w:rPr>
                              <w:t>:</w:t>
                            </w:r>
                            <w:r w:rsidR="003C38C7" w:rsidRPr="00D87779">
                              <w:rPr>
                                <w:rFonts w:ascii="Times New Roman" w:hAnsi="Times New Roman" w:cs="Times New Roman"/>
                                <w:i/>
                              </w:rPr>
                              <w:t xml:space="preserve"> “</w:t>
                            </w:r>
                            <w:r w:rsidR="00D87779" w:rsidRPr="00D87779">
                              <w:rPr>
                                <w:rFonts w:ascii="Times New Roman" w:hAnsi="Times New Roman" w:cs="Times New Roman"/>
                                <w:i/>
                              </w:rPr>
                              <w:t>One other matter remains to be mentioned. In his reasons the learned CHIEF JUSTICE said:</w:t>
                            </w:r>
                          </w:p>
                          <w:p w14:paraId="2B309FB1" w14:textId="23CEF8C6" w:rsidR="00D87779" w:rsidRPr="00D87779" w:rsidRDefault="00D87779" w:rsidP="002E5276">
                            <w:pPr>
                              <w:spacing w:after="0" w:line="276" w:lineRule="auto"/>
                              <w:jc w:val="both"/>
                              <w:rPr>
                                <w:rFonts w:ascii="Times New Roman" w:hAnsi="Times New Roman" w:cs="Times New Roman"/>
                                <w:i/>
                              </w:rPr>
                            </w:pPr>
                            <w:r w:rsidRPr="00D87779">
                              <w:rPr>
                                <w:rFonts w:ascii="Times New Roman" w:hAnsi="Times New Roman" w:cs="Times New Roman"/>
                                <w:i/>
                              </w:rPr>
                              <w:t xml:space="preserve">   'Disclosure must be left to the discretion of the </w:t>
                            </w:r>
                            <w:r w:rsidRPr="00D87779">
                              <w:rPr>
                                <w:rFonts w:ascii="Times New Roman" w:hAnsi="Times New Roman" w:cs="Times New Roman"/>
                                <w:i/>
                                <w:iCs/>
                              </w:rPr>
                              <w:t>Attorney-General</w:t>
                            </w:r>
                            <w:r w:rsidRPr="00D87779">
                              <w:rPr>
                                <w:rFonts w:ascii="Times New Roman" w:hAnsi="Times New Roman" w:cs="Times New Roman"/>
                                <w:i/>
                              </w:rPr>
                              <w:t xml:space="preserve"> or his deputy. </w:t>
                            </w:r>
                            <w:r w:rsidRPr="00D87779">
                              <w:rPr>
                                <w:rFonts w:ascii="Times New Roman" w:hAnsi="Times New Roman" w:cs="Times New Roman"/>
                                <w:i/>
                                <w:u w:val="single"/>
                              </w:rPr>
                              <w:t xml:space="preserve">The prosecutor stands in a special relation to the Court, and, where there is a serious discrepancy between the proof of a Crown witness and what he says on oath at the trial, the Court has the right to expect that the prosecutor will, of his own motion, direct attention to the fact and, unless there is special and cogent reason to the contrary, make the statement available for cross-examination. </w:t>
                            </w:r>
                            <w:r w:rsidRPr="00D87779">
                              <w:rPr>
                                <w:rFonts w:ascii="Times New Roman" w:hAnsi="Times New Roman" w:cs="Times New Roman"/>
                                <w:i/>
                              </w:rPr>
                              <w:t>I may say that this is the almost invariable practice of prosecutors in this Colony.'</w:t>
                            </w:r>
                          </w:p>
                          <w:p w14:paraId="036B09F8" w14:textId="0D4C3D2A" w:rsidR="00D87779" w:rsidRPr="00D87779" w:rsidRDefault="00D87779" w:rsidP="007016CB">
                            <w:pPr>
                              <w:spacing w:line="276" w:lineRule="auto"/>
                              <w:jc w:val="both"/>
                              <w:rPr>
                                <w:rFonts w:ascii="Times New Roman" w:hAnsi="Times New Roman" w:cs="Times New Roman"/>
                                <w:i/>
                              </w:rPr>
                            </w:pPr>
                            <w:r w:rsidRPr="00D87779">
                              <w:rPr>
                                <w:rFonts w:ascii="Times New Roman" w:hAnsi="Times New Roman" w:cs="Times New Roman"/>
                                <w:b/>
                                <w:i/>
                              </w:rPr>
                              <w:t>B</w:t>
                            </w:r>
                            <w:r>
                              <w:rPr>
                                <w:rFonts w:ascii="Times New Roman" w:hAnsi="Times New Roman" w:cs="Times New Roman"/>
                                <w:b/>
                                <w:i/>
                              </w:rPr>
                              <w:t>:</w:t>
                            </w:r>
                            <w:r w:rsidRPr="00D87779">
                              <w:rPr>
                                <w:rFonts w:ascii="Times New Roman" w:hAnsi="Times New Roman" w:cs="Times New Roman"/>
                                <w:i/>
                              </w:rPr>
                              <w:t xml:space="preserve"> A passage to the same effect appears in the reasons of BEADLE, J., and my impression is that the same applies in the courts of the Union. In my opinion, the proper administration of justice requires that this practice should be invariable, and not 'almost invariable' and I say this in the hope that the duty to observe it will be carried out by every prosecutor. The appeal is dismissed.</w:t>
                            </w:r>
                          </w:p>
                          <w:p w14:paraId="063F3C50" w14:textId="529A9B35" w:rsidR="003C38C7" w:rsidRPr="00AC3D57" w:rsidRDefault="003C38C7" w:rsidP="007016CB">
                            <w:pPr>
                              <w:spacing w:line="276" w:lineRule="auto"/>
                              <w:jc w:val="both"/>
                              <w:rPr>
                                <w:i/>
                              </w:rPr>
                            </w:pPr>
                          </w:p>
                          <w:p w14:paraId="42F971F9" w14:textId="77777777" w:rsidR="003C38C7" w:rsidRPr="00101B97" w:rsidRDefault="003C38C7" w:rsidP="003C38C7">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A6B7F0" id="_x0000_t202" coordsize="21600,21600" o:spt="202" path="m,l,21600r21600,l21600,xe">
                <v:stroke joinstyle="miter"/>
                <v:path gradientshapeok="t" o:connecttype="rect"/>
              </v:shapetype>
              <v:shape id="Text Box 2" o:spid="_x0000_s1026" type="#_x0000_t202" style="position:absolute;left:0;text-align:left;margin-left:152.05pt;margin-top:0;width:203.25pt;height:413.25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">
                <v:textbox>
                  <w:txbxContent>
                    <w:p w14:paraId="4F4C7F7B" w14:textId="77777777" w:rsidR="002E5276" w:rsidRDefault="003C38C7" w:rsidP="002E5276">
                      <w:pPr>
                        <w:spacing w:after="0" w:line="276" w:lineRule="auto"/>
                        <w:rPr>
                          <w:rFonts w:ascii="Times New Roman" w:hAnsi="Times New Roman" w:cs="Times New Roman"/>
                          <w:b/>
                          <w:i/>
                        </w:rPr>
                      </w:pPr>
                      <w:r w:rsidRPr="00D87779">
                        <w:rPr>
                          <w:rFonts w:ascii="Times New Roman" w:hAnsi="Times New Roman" w:cs="Times New Roman"/>
                          <w:b/>
                          <w:i/>
                        </w:rPr>
                        <w:t>Extract:</w:t>
                      </w:r>
                    </w:p>
                    <w:p w14:paraId="721F05DB" w14:textId="44AD8177" w:rsidR="00D87779" w:rsidRPr="002E5276" w:rsidRDefault="00AC5761" w:rsidP="002E5276">
                      <w:pPr>
                        <w:spacing w:after="0" w:line="276" w:lineRule="auto"/>
                        <w:rPr>
                          <w:rFonts w:ascii="Times New Roman" w:hAnsi="Times New Roman" w:cs="Times New Roman"/>
                          <w:b/>
                          <w:i/>
                        </w:rPr>
                      </w:pPr>
                      <w:r>
                        <w:rPr>
                          <w:rFonts w:ascii="Times New Roman" w:hAnsi="Times New Roman" w:cs="Times New Roman"/>
                          <w:b/>
                          <w:i/>
                        </w:rPr>
                        <w:t>337A</w:t>
                      </w:r>
                      <w:r w:rsidR="003C38C7" w:rsidRPr="00D87779">
                        <w:rPr>
                          <w:rFonts w:ascii="Times New Roman" w:hAnsi="Times New Roman" w:cs="Times New Roman"/>
                          <w:b/>
                          <w:i/>
                        </w:rPr>
                        <w:t>:</w:t>
                      </w:r>
                      <w:r w:rsidR="003C38C7" w:rsidRPr="00D87779">
                        <w:rPr>
                          <w:rFonts w:ascii="Times New Roman" w:hAnsi="Times New Roman" w:cs="Times New Roman"/>
                          <w:i/>
                        </w:rPr>
                        <w:t xml:space="preserve"> “</w:t>
                      </w:r>
                      <w:r w:rsidR="00D87779" w:rsidRPr="00D87779">
                        <w:rPr>
                          <w:rFonts w:ascii="Times New Roman" w:hAnsi="Times New Roman" w:cs="Times New Roman"/>
                          <w:i/>
                        </w:rPr>
                        <w:t>One other matter remains to be mentioned. In his reasons the learned CHIEF JUSTICE said:</w:t>
                      </w:r>
                    </w:p>
                    <w:p w14:paraId="2B309FB1" w14:textId="23CEF8C6" w:rsidR="00D87779" w:rsidRPr="00D87779" w:rsidRDefault="00D87779" w:rsidP="002E5276">
                      <w:pPr>
                        <w:spacing w:after="0" w:line="276" w:lineRule="auto"/>
                        <w:jc w:val="both"/>
                        <w:rPr>
                          <w:rFonts w:ascii="Times New Roman" w:hAnsi="Times New Roman" w:cs="Times New Roman"/>
                          <w:i/>
                        </w:rPr>
                      </w:pPr>
                      <w:r w:rsidRPr="00D87779">
                        <w:rPr>
                          <w:rFonts w:ascii="Times New Roman" w:hAnsi="Times New Roman" w:cs="Times New Roman"/>
                          <w:i/>
                        </w:rPr>
                        <w:t xml:space="preserve">   'Disclosure must be left to the discretion of the </w:t>
                      </w:r>
                      <w:r w:rsidRPr="00D87779">
                        <w:rPr>
                          <w:rFonts w:ascii="Times New Roman" w:hAnsi="Times New Roman" w:cs="Times New Roman"/>
                          <w:i/>
                          <w:iCs/>
                        </w:rPr>
                        <w:t>Attorney-General</w:t>
                      </w:r>
                      <w:r w:rsidRPr="00D87779">
                        <w:rPr>
                          <w:rFonts w:ascii="Times New Roman" w:hAnsi="Times New Roman" w:cs="Times New Roman"/>
                          <w:i/>
                        </w:rPr>
                        <w:t xml:space="preserve"> or his deputy. </w:t>
                      </w:r>
                      <w:r w:rsidRPr="00D87779">
                        <w:rPr>
                          <w:rFonts w:ascii="Times New Roman" w:hAnsi="Times New Roman" w:cs="Times New Roman"/>
                          <w:i/>
                          <w:u w:val="single"/>
                        </w:rPr>
                        <w:t xml:space="preserve">The prosecutor stands in a special relation to the Court, and, where there is a serious discrepancy between the proof of a Crown witness and what he says on oath at the trial, the Court has the right to expect that the prosecutor will, of his own motion, direct attention to the fact and, unless there is special and cogent reason to the contrary, make the statement available for cross-examination. </w:t>
                      </w:r>
                      <w:r w:rsidRPr="00D87779">
                        <w:rPr>
                          <w:rFonts w:ascii="Times New Roman" w:hAnsi="Times New Roman" w:cs="Times New Roman"/>
                          <w:i/>
                        </w:rPr>
                        <w:t>I may say that this is the almost invariable practice of prosecutors in this Colony.'</w:t>
                      </w:r>
                    </w:p>
                    <w:p w14:paraId="036B09F8" w14:textId="0D4C3D2A" w:rsidR="00D87779" w:rsidRPr="00D87779" w:rsidRDefault="00D87779" w:rsidP="007016CB">
                      <w:pPr>
                        <w:spacing w:line="276" w:lineRule="auto"/>
                        <w:jc w:val="both"/>
                        <w:rPr>
                          <w:rFonts w:ascii="Times New Roman" w:hAnsi="Times New Roman" w:cs="Times New Roman"/>
                          <w:i/>
                        </w:rPr>
                      </w:pPr>
                      <w:r w:rsidRPr="00D87779">
                        <w:rPr>
                          <w:rFonts w:ascii="Times New Roman" w:hAnsi="Times New Roman" w:cs="Times New Roman"/>
                          <w:b/>
                          <w:i/>
                        </w:rPr>
                        <w:t>B</w:t>
                      </w:r>
                      <w:r>
                        <w:rPr>
                          <w:rFonts w:ascii="Times New Roman" w:hAnsi="Times New Roman" w:cs="Times New Roman"/>
                          <w:b/>
                          <w:i/>
                        </w:rPr>
                        <w:t>:</w:t>
                      </w:r>
                      <w:r w:rsidRPr="00D87779">
                        <w:rPr>
                          <w:rFonts w:ascii="Times New Roman" w:hAnsi="Times New Roman" w:cs="Times New Roman"/>
                          <w:i/>
                        </w:rPr>
                        <w:t xml:space="preserve"> A passage to the same effect appears in the reasons of BEADLE, J., and my impression is that the same applies in the courts of the Union. In my opinion, the proper administration of justice requires that this practice should be invariable, and not 'almost invariable' and I say this in the hope that the duty to observe it will be carried out by every prosecutor. The appeal is dismissed.</w:t>
                      </w:r>
                    </w:p>
                    <w:p w14:paraId="063F3C50" w14:textId="529A9B35" w:rsidR="003C38C7" w:rsidRPr="00AC3D57" w:rsidRDefault="003C38C7" w:rsidP="007016CB">
                      <w:pPr>
                        <w:spacing w:line="276" w:lineRule="auto"/>
                        <w:jc w:val="both"/>
                        <w:rPr>
                          <w:i/>
                        </w:rPr>
                      </w:pPr>
                    </w:p>
                    <w:p w14:paraId="42F971F9" w14:textId="77777777" w:rsidR="003C38C7" w:rsidRPr="00101B97" w:rsidRDefault="003C38C7" w:rsidP="003C38C7">
                      <w:pPr>
                        <w:spacing w:line="276" w:lineRule="auto"/>
                        <w:rPr>
                          <w:i/>
                        </w:rPr>
                      </w:pPr>
                    </w:p>
                  </w:txbxContent>
                </v:textbox>
                <w10:wrap type="square" anchorx="margin"/>
              </v:shape>
            </w:pict>
          </mc:Fallback>
        </mc:AlternateContent>
      </w:r>
      <w:r w:rsidR="003C38C7" w:rsidRPr="003C38C7">
        <w:rPr>
          <w:rFonts w:ascii="Arial" w:hAnsi="Arial" w:cs="Arial"/>
          <w:b/>
          <w:noProof/>
          <w:sz w:val="28"/>
          <w:szCs w:val="28"/>
          <w:u w:val="single"/>
        </w:rPr>
        <mc:AlternateContent>
          <mc:Choice Requires="wps">
            <w:drawing>
              <wp:anchor distT="0" distB="0" distL="114300" distR="114300" simplePos="0" relativeHeight="251659264" behindDoc="0" locked="0" layoutInCell="1" allowOverlap="1" wp14:anchorId="60800CC5" wp14:editId="2B76CD17">
                <wp:simplePos x="0" y="0"/>
                <wp:positionH relativeFrom="page">
                  <wp:posOffset>7360920</wp:posOffset>
                </wp:positionH>
                <wp:positionV relativeFrom="page">
                  <wp:posOffset>10332720</wp:posOffset>
                </wp:positionV>
                <wp:extent cx="0" cy="0"/>
                <wp:effectExtent l="7620" t="9570720" r="11430" b="95758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6DA682" id="Straight Connector 8"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79.6pt,813.6pt" to="579.6pt,8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" strokeweight=".72pt">
                <w10:wrap anchorx="page" anchory="page"/>
              </v:line>
            </w:pict>
          </mc:Fallback>
        </mc:AlternateContent>
      </w:r>
      <w:r w:rsidR="00DE5C0E">
        <w:rPr>
          <w:rFonts w:ascii="Arial" w:hAnsi="Arial" w:cs="Arial"/>
          <w:b/>
          <w:sz w:val="28"/>
          <w:szCs w:val="28"/>
          <w:u w:val="single"/>
        </w:rPr>
        <w:t>R v Steyn</w:t>
      </w:r>
      <w:r w:rsidR="003C38C7" w:rsidRPr="003C38C7">
        <w:rPr>
          <w:rFonts w:ascii="Arial" w:hAnsi="Arial" w:cs="Arial"/>
          <w:sz w:val="28"/>
          <w:szCs w:val="28"/>
          <w:u w:val="single"/>
        </w:rPr>
        <w:t xml:space="preserve"> </w:t>
      </w:r>
      <w:r w:rsidR="002C7364">
        <w:rPr>
          <w:rFonts w:ascii="Arial" w:hAnsi="Arial" w:cs="Arial"/>
          <w:sz w:val="28"/>
          <w:szCs w:val="28"/>
          <w:u w:val="single"/>
        </w:rPr>
        <w:t>1954(1) SA 324 (AD) at 337</w:t>
      </w:r>
    </w:p>
    <w:p w14:paraId="5B0E4DB4" w14:textId="77777777" w:rsidR="003C38C7" w:rsidRPr="003C38C7" w:rsidRDefault="003C38C7" w:rsidP="003C38C7">
      <w:pPr>
        <w:spacing w:after="0" w:line="276" w:lineRule="auto"/>
        <w:jc w:val="both"/>
        <w:rPr>
          <w:rFonts w:ascii="Arial" w:hAnsi="Arial" w:cs="Arial"/>
          <w:sz w:val="16"/>
          <w:szCs w:val="16"/>
        </w:rPr>
      </w:pPr>
    </w:p>
    <w:p w14:paraId="4EC7E268" w14:textId="0699CA44" w:rsidR="003C38C7" w:rsidRPr="003C38C7" w:rsidRDefault="003C38C7" w:rsidP="003C38C7">
      <w:pPr>
        <w:spacing w:after="0" w:line="276" w:lineRule="auto"/>
        <w:jc w:val="both"/>
        <w:rPr>
          <w:rFonts w:ascii="Arial" w:hAnsi="Arial" w:cs="Arial"/>
          <w:b/>
          <w:noProof/>
          <w:sz w:val="24"/>
          <w:szCs w:val="24"/>
          <w:u w:val="single"/>
        </w:rPr>
      </w:pPr>
      <w:r w:rsidRPr="003C38C7">
        <w:rPr>
          <w:rFonts w:ascii="Arial" w:hAnsi="Arial" w:cs="Arial"/>
          <w:b/>
          <w:noProof/>
          <w:sz w:val="24"/>
          <w:szCs w:val="24"/>
          <w:u w:val="single"/>
        </w:rPr>
        <w:t>FACTS:</w:t>
      </w:r>
    </w:p>
    <w:p w14:paraId="65459ED3" w14:textId="37829393" w:rsidR="003C38C7" w:rsidRPr="003C38C7" w:rsidRDefault="003C38C7" w:rsidP="003C38C7">
      <w:pPr>
        <w:spacing w:after="0" w:line="276" w:lineRule="auto"/>
        <w:jc w:val="both"/>
        <w:rPr>
          <w:rFonts w:ascii="Arial" w:hAnsi="Arial" w:cs="Arial"/>
          <w:sz w:val="16"/>
          <w:szCs w:val="16"/>
        </w:rPr>
      </w:pPr>
    </w:p>
    <w:p w14:paraId="1ABC6077" w14:textId="068B190F" w:rsidR="00ED42EA" w:rsidRDefault="00ED42EA" w:rsidP="007016CB">
      <w:pPr>
        <w:autoSpaceDE w:val="0"/>
        <w:autoSpaceDN w:val="0"/>
        <w:adjustRightInd w:val="0"/>
        <w:spacing w:after="0" w:line="276" w:lineRule="auto"/>
        <w:jc w:val="both"/>
        <w:rPr>
          <w:rFonts w:ascii="Arial" w:hAnsi="Arial" w:cs="Arial"/>
          <w:sz w:val="24"/>
          <w:szCs w:val="24"/>
        </w:rPr>
      </w:pPr>
      <w:r w:rsidRPr="00ED42EA">
        <w:rPr>
          <w:rFonts w:ascii="Arial" w:hAnsi="Arial" w:cs="Arial"/>
          <w:sz w:val="24"/>
          <w:szCs w:val="24"/>
        </w:rPr>
        <w:t xml:space="preserve">This </w:t>
      </w:r>
      <w:r w:rsidR="00CB3EA6">
        <w:rPr>
          <w:rFonts w:ascii="Arial" w:hAnsi="Arial" w:cs="Arial"/>
          <w:sz w:val="24"/>
          <w:szCs w:val="24"/>
        </w:rPr>
        <w:t>was</w:t>
      </w:r>
      <w:r w:rsidRPr="00ED42EA">
        <w:rPr>
          <w:rFonts w:ascii="Arial" w:hAnsi="Arial" w:cs="Arial"/>
          <w:sz w:val="24"/>
          <w:szCs w:val="24"/>
        </w:rPr>
        <w:t xml:space="preserve"> an application for leave to appeal against a judgment of the High Court of Southern Rhodesia, dismissing an appeal from a decision by a magistrate, in which he convicted the applicant of the crime of theft</w:t>
      </w:r>
      <w:r w:rsidR="00CB3EA6">
        <w:rPr>
          <w:rFonts w:ascii="Arial" w:hAnsi="Arial" w:cs="Arial"/>
          <w:sz w:val="24"/>
          <w:szCs w:val="24"/>
        </w:rPr>
        <w:t>.</w:t>
      </w:r>
      <w:bookmarkStart w:id="0" w:name="_GoBack"/>
      <w:bookmarkEnd w:id="0"/>
    </w:p>
    <w:p w14:paraId="0E3093B5" w14:textId="789F3030" w:rsidR="00075F18" w:rsidRPr="001F7BF6" w:rsidRDefault="00075F18" w:rsidP="007016CB">
      <w:pPr>
        <w:autoSpaceDE w:val="0"/>
        <w:autoSpaceDN w:val="0"/>
        <w:adjustRightInd w:val="0"/>
        <w:spacing w:after="0" w:line="276" w:lineRule="auto"/>
        <w:jc w:val="both"/>
        <w:rPr>
          <w:rFonts w:ascii="Arial" w:hAnsi="Arial" w:cs="Arial"/>
          <w:sz w:val="16"/>
          <w:szCs w:val="16"/>
        </w:rPr>
      </w:pPr>
    </w:p>
    <w:p w14:paraId="640002D0" w14:textId="72AF6BB1" w:rsidR="00075F18" w:rsidRDefault="00075F18" w:rsidP="007016CB">
      <w:pPr>
        <w:autoSpaceDE w:val="0"/>
        <w:autoSpaceDN w:val="0"/>
        <w:adjustRightInd w:val="0"/>
        <w:spacing w:after="0" w:line="276" w:lineRule="auto"/>
        <w:jc w:val="both"/>
        <w:rPr>
          <w:rFonts w:ascii="Arial" w:hAnsi="Arial" w:cs="Arial"/>
          <w:sz w:val="24"/>
          <w:szCs w:val="24"/>
        </w:rPr>
      </w:pPr>
      <w:r w:rsidRPr="00075F18">
        <w:rPr>
          <w:rFonts w:ascii="Arial" w:hAnsi="Arial" w:cs="Arial"/>
          <w:sz w:val="24"/>
          <w:szCs w:val="24"/>
        </w:rPr>
        <w:t>Two grounds of appeal were argued in the High Cour</w:t>
      </w:r>
      <w:r w:rsidR="000476FA">
        <w:rPr>
          <w:rFonts w:ascii="Arial" w:hAnsi="Arial" w:cs="Arial"/>
          <w:sz w:val="24"/>
          <w:szCs w:val="24"/>
        </w:rPr>
        <w:t xml:space="preserve">t, </w:t>
      </w:r>
      <w:r w:rsidR="00DD27C0">
        <w:rPr>
          <w:rFonts w:ascii="Arial" w:hAnsi="Arial" w:cs="Arial"/>
          <w:sz w:val="24"/>
          <w:szCs w:val="24"/>
        </w:rPr>
        <w:t>one of them being t</w:t>
      </w:r>
      <w:r w:rsidRPr="00075F18">
        <w:rPr>
          <w:rFonts w:ascii="Arial" w:hAnsi="Arial" w:cs="Arial"/>
          <w:sz w:val="24"/>
          <w:szCs w:val="24"/>
        </w:rPr>
        <w:t xml:space="preserve">hat the magistrate wrongly and to the prejudice of the appellant refused the application made by the defence </w:t>
      </w:r>
      <w:proofErr w:type="gramStart"/>
      <w:r w:rsidRPr="00075F18">
        <w:rPr>
          <w:rFonts w:ascii="Arial" w:hAnsi="Arial" w:cs="Arial"/>
          <w:sz w:val="24"/>
          <w:szCs w:val="24"/>
        </w:rPr>
        <w:t>for the production of</w:t>
      </w:r>
      <w:proofErr w:type="gramEnd"/>
      <w:r w:rsidRPr="00075F18">
        <w:rPr>
          <w:rFonts w:ascii="Arial" w:hAnsi="Arial" w:cs="Arial"/>
          <w:sz w:val="24"/>
          <w:szCs w:val="24"/>
        </w:rPr>
        <w:t xml:space="preserve"> the statements made by the Crown witnesses who gave evidence against the appellant and which were in the possession of </w:t>
      </w:r>
      <w:r w:rsidR="000518B3">
        <w:rPr>
          <w:rFonts w:ascii="Arial" w:hAnsi="Arial" w:cs="Arial"/>
          <w:sz w:val="24"/>
          <w:szCs w:val="24"/>
        </w:rPr>
        <w:t>the constable.</w:t>
      </w:r>
    </w:p>
    <w:p w14:paraId="05719637" w14:textId="77777777" w:rsidR="000518B3" w:rsidRPr="00075F18" w:rsidRDefault="000518B3" w:rsidP="007016CB">
      <w:pPr>
        <w:autoSpaceDE w:val="0"/>
        <w:autoSpaceDN w:val="0"/>
        <w:adjustRightInd w:val="0"/>
        <w:spacing w:after="0" w:line="240" w:lineRule="auto"/>
        <w:jc w:val="both"/>
        <w:rPr>
          <w:rFonts w:ascii="Arial" w:hAnsi="Arial" w:cs="Arial"/>
          <w:sz w:val="16"/>
          <w:szCs w:val="16"/>
        </w:rPr>
      </w:pPr>
    </w:p>
    <w:p w14:paraId="0E088C70" w14:textId="751342A0" w:rsidR="00075F18" w:rsidRPr="000518B3" w:rsidRDefault="000518B3" w:rsidP="007016CB">
      <w:pPr>
        <w:autoSpaceDE w:val="0"/>
        <w:autoSpaceDN w:val="0"/>
        <w:adjustRightInd w:val="0"/>
        <w:spacing w:after="0" w:line="276" w:lineRule="auto"/>
        <w:jc w:val="both"/>
        <w:rPr>
          <w:rFonts w:ascii="Arial" w:hAnsi="Arial" w:cs="Arial"/>
          <w:b/>
          <w:sz w:val="24"/>
          <w:szCs w:val="24"/>
          <w:u w:val="single"/>
        </w:rPr>
      </w:pPr>
      <w:r w:rsidRPr="000518B3">
        <w:rPr>
          <w:rFonts w:ascii="Arial" w:hAnsi="Arial" w:cs="Arial"/>
          <w:b/>
          <w:sz w:val="24"/>
          <w:szCs w:val="24"/>
          <w:u w:val="single"/>
        </w:rPr>
        <w:t>PRINCIPLE:</w:t>
      </w:r>
    </w:p>
    <w:p w14:paraId="5881D772" w14:textId="7C10B827" w:rsidR="00DE5C0E" w:rsidRDefault="00F76B7C" w:rsidP="007016CB">
      <w:pPr>
        <w:autoSpaceDE w:val="0"/>
        <w:autoSpaceDN w:val="0"/>
        <w:adjustRightInd w:val="0"/>
        <w:spacing w:after="0" w:line="276" w:lineRule="auto"/>
        <w:jc w:val="both"/>
        <w:rPr>
          <w:rFonts w:ascii="Arial" w:hAnsi="Arial" w:cs="Arial"/>
          <w:sz w:val="24"/>
          <w:szCs w:val="24"/>
          <w:u w:val="single"/>
        </w:rPr>
      </w:pPr>
      <w:r>
        <w:rPr>
          <w:rFonts w:ascii="Arial" w:hAnsi="Arial" w:cs="Arial"/>
          <w:sz w:val="24"/>
          <w:szCs w:val="24"/>
        </w:rPr>
        <w:t>W</w:t>
      </w:r>
      <w:r w:rsidR="00DE5C0E" w:rsidRPr="002C7364">
        <w:rPr>
          <w:rFonts w:ascii="Arial" w:hAnsi="Arial" w:cs="Arial"/>
          <w:sz w:val="24"/>
          <w:szCs w:val="24"/>
        </w:rPr>
        <w:t xml:space="preserve">here there is a </w:t>
      </w:r>
      <w:r w:rsidR="00DE5C0E" w:rsidRPr="002C7364">
        <w:rPr>
          <w:rFonts w:ascii="Arial" w:hAnsi="Arial" w:cs="Arial"/>
          <w:bCs/>
          <w:iCs/>
          <w:sz w:val="24"/>
          <w:szCs w:val="24"/>
        </w:rPr>
        <w:t>serious discrepancy between the</w:t>
      </w:r>
      <w:r w:rsidR="001401AF">
        <w:rPr>
          <w:rFonts w:ascii="Arial" w:hAnsi="Arial" w:cs="Arial"/>
          <w:bCs/>
          <w:iCs/>
          <w:sz w:val="24"/>
          <w:szCs w:val="24"/>
        </w:rPr>
        <w:t xml:space="preserve"> </w:t>
      </w:r>
      <w:r w:rsidR="00DE5C0E" w:rsidRPr="00DE5C0E">
        <w:rPr>
          <w:rFonts w:ascii="Arial" w:hAnsi="Arial" w:cs="Arial"/>
          <w:bCs/>
          <w:iCs/>
          <w:sz w:val="24"/>
          <w:szCs w:val="24"/>
        </w:rPr>
        <w:t xml:space="preserve">statements of a prosecution witness and what he says on oath at trial, </w:t>
      </w:r>
      <w:r w:rsidR="00DE5C0E" w:rsidRPr="00DE5C0E">
        <w:rPr>
          <w:rFonts w:ascii="Arial" w:hAnsi="Arial" w:cs="Arial"/>
          <w:bCs/>
          <w:iCs/>
          <w:sz w:val="24"/>
          <w:szCs w:val="24"/>
          <w:u w:val="single"/>
        </w:rPr>
        <w:t>the prosecutor must</w:t>
      </w:r>
      <w:r w:rsidR="000C31D4" w:rsidRPr="00346837">
        <w:rPr>
          <w:rFonts w:ascii="Arial" w:hAnsi="Arial" w:cs="Arial"/>
          <w:bCs/>
          <w:iCs/>
          <w:sz w:val="24"/>
          <w:szCs w:val="24"/>
          <w:u w:val="single"/>
        </w:rPr>
        <w:t xml:space="preserve"> </w:t>
      </w:r>
      <w:r w:rsidR="00DE5C0E" w:rsidRPr="00DE5C0E">
        <w:rPr>
          <w:rFonts w:ascii="Arial" w:hAnsi="Arial" w:cs="Arial"/>
          <w:bCs/>
          <w:iCs/>
          <w:sz w:val="24"/>
          <w:szCs w:val="24"/>
          <w:u w:val="single"/>
        </w:rPr>
        <w:t xml:space="preserve">direct attention to that fact </w:t>
      </w:r>
      <w:r w:rsidR="00DE5C0E" w:rsidRPr="00DE5C0E">
        <w:rPr>
          <w:rFonts w:ascii="Arial" w:hAnsi="Arial" w:cs="Arial"/>
          <w:sz w:val="24"/>
          <w:szCs w:val="24"/>
          <w:u w:val="single"/>
        </w:rPr>
        <w:t>and, unless there is special and cogent</w:t>
      </w:r>
      <w:r w:rsidR="000C31D4" w:rsidRPr="00346837">
        <w:rPr>
          <w:rFonts w:ascii="Arial" w:hAnsi="Arial" w:cs="Arial"/>
          <w:sz w:val="24"/>
          <w:szCs w:val="24"/>
          <w:u w:val="single"/>
        </w:rPr>
        <w:t xml:space="preserve"> </w:t>
      </w:r>
      <w:r w:rsidR="00DE5C0E" w:rsidRPr="00DE5C0E">
        <w:rPr>
          <w:rFonts w:ascii="Arial" w:hAnsi="Arial" w:cs="Arial"/>
          <w:sz w:val="24"/>
          <w:szCs w:val="24"/>
          <w:u w:val="single"/>
        </w:rPr>
        <w:t xml:space="preserve">reason to the contrary, </w:t>
      </w:r>
      <w:r w:rsidR="00DE5C0E" w:rsidRPr="00DE5C0E">
        <w:rPr>
          <w:rFonts w:ascii="Arial" w:hAnsi="Arial" w:cs="Arial"/>
          <w:bCs/>
          <w:iCs/>
          <w:sz w:val="24"/>
          <w:szCs w:val="24"/>
          <w:u w:val="single"/>
        </w:rPr>
        <w:t>make the</w:t>
      </w:r>
      <w:r w:rsidR="000C31D4" w:rsidRPr="00346837">
        <w:rPr>
          <w:rFonts w:ascii="Arial" w:hAnsi="Arial" w:cs="Arial"/>
          <w:bCs/>
          <w:iCs/>
          <w:sz w:val="24"/>
          <w:szCs w:val="24"/>
          <w:u w:val="single"/>
        </w:rPr>
        <w:t xml:space="preserve"> </w:t>
      </w:r>
      <w:r w:rsidR="00DE5C0E" w:rsidRPr="00DE5C0E">
        <w:rPr>
          <w:rFonts w:ascii="Arial" w:hAnsi="Arial" w:cs="Arial"/>
          <w:bCs/>
          <w:iCs/>
          <w:sz w:val="24"/>
          <w:szCs w:val="24"/>
          <w:u w:val="single"/>
        </w:rPr>
        <w:t xml:space="preserve">statement available </w:t>
      </w:r>
      <w:r w:rsidR="00DE5C0E" w:rsidRPr="00DE5C0E">
        <w:rPr>
          <w:rFonts w:ascii="Arial" w:hAnsi="Arial" w:cs="Arial"/>
          <w:sz w:val="24"/>
          <w:szCs w:val="24"/>
          <w:u w:val="single"/>
        </w:rPr>
        <w:t>for cross-examination. The</w:t>
      </w:r>
      <w:r w:rsidR="000C31D4" w:rsidRPr="00346837">
        <w:rPr>
          <w:rFonts w:ascii="Arial" w:hAnsi="Arial" w:cs="Arial"/>
          <w:sz w:val="24"/>
          <w:szCs w:val="24"/>
          <w:u w:val="single"/>
        </w:rPr>
        <w:t xml:space="preserve"> prosecutor</w:t>
      </w:r>
      <w:r w:rsidR="00DE5C0E" w:rsidRPr="00DE5C0E">
        <w:rPr>
          <w:rFonts w:ascii="Arial" w:hAnsi="Arial" w:cs="Arial"/>
          <w:sz w:val="24"/>
          <w:szCs w:val="24"/>
          <w:u w:val="single"/>
        </w:rPr>
        <w:t xml:space="preserve"> stands in a </w:t>
      </w:r>
      <w:r w:rsidR="00DE5C0E" w:rsidRPr="00DE5C0E">
        <w:rPr>
          <w:rFonts w:ascii="Arial" w:hAnsi="Arial" w:cs="Arial"/>
          <w:iCs/>
          <w:sz w:val="24"/>
          <w:szCs w:val="24"/>
          <w:u w:val="single"/>
        </w:rPr>
        <w:t xml:space="preserve">special relationship </w:t>
      </w:r>
      <w:r w:rsidR="00DE5C0E" w:rsidRPr="00DE5C0E">
        <w:rPr>
          <w:rFonts w:ascii="Arial" w:hAnsi="Arial" w:cs="Arial"/>
          <w:sz w:val="24"/>
          <w:szCs w:val="24"/>
          <w:u w:val="single"/>
        </w:rPr>
        <w:t>to the Court.</w:t>
      </w:r>
    </w:p>
    <w:p w14:paraId="0CE34A5D" w14:textId="77777777" w:rsidR="001F7BF6" w:rsidRPr="001F7BF6" w:rsidRDefault="001F7BF6" w:rsidP="007016CB">
      <w:pPr>
        <w:autoSpaceDE w:val="0"/>
        <w:autoSpaceDN w:val="0"/>
        <w:adjustRightInd w:val="0"/>
        <w:spacing w:after="0" w:line="276" w:lineRule="auto"/>
        <w:jc w:val="both"/>
        <w:rPr>
          <w:rFonts w:ascii="Arial" w:hAnsi="Arial" w:cs="Arial"/>
          <w:bCs/>
          <w:iCs/>
          <w:sz w:val="16"/>
          <w:szCs w:val="16"/>
        </w:rPr>
      </w:pPr>
    </w:p>
    <w:p w14:paraId="3D1CDF23" w14:textId="5715CFCA" w:rsidR="00195BBA" w:rsidRDefault="00DE5C0E" w:rsidP="001F7BF6">
      <w:pPr>
        <w:rPr>
          <w:rFonts w:ascii="Arial" w:hAnsi="Arial" w:cs="Arial"/>
          <w:sz w:val="24"/>
          <w:szCs w:val="24"/>
        </w:rPr>
      </w:pPr>
      <w:r w:rsidRPr="00DE5C0E">
        <w:rPr>
          <w:rFonts w:ascii="Arial" w:hAnsi="Arial" w:cs="Arial"/>
          <w:b/>
          <w:bCs/>
          <w:iCs/>
          <w:sz w:val="28"/>
          <w:szCs w:val="28"/>
          <w:u w:val="single"/>
        </w:rPr>
        <w:t>S v Radebe</w:t>
      </w:r>
      <w:r w:rsidRPr="00DE5C0E">
        <w:rPr>
          <w:rFonts w:ascii="Arial" w:hAnsi="Arial" w:cs="Arial"/>
          <w:b/>
          <w:bCs/>
          <w:i/>
          <w:iCs/>
          <w:sz w:val="28"/>
          <w:szCs w:val="28"/>
          <w:u w:val="single"/>
        </w:rPr>
        <w:t xml:space="preserve"> </w:t>
      </w:r>
      <w:r w:rsidRPr="00DE5C0E">
        <w:rPr>
          <w:rFonts w:ascii="Arial" w:hAnsi="Arial" w:cs="Arial"/>
          <w:sz w:val="28"/>
          <w:szCs w:val="28"/>
          <w:u w:val="single"/>
        </w:rPr>
        <w:t>(</w:t>
      </w:r>
      <w:r w:rsidR="00DB7873" w:rsidRPr="00195BBA">
        <w:rPr>
          <w:rFonts w:ascii="Arial" w:hAnsi="Arial" w:cs="Arial"/>
          <w:sz w:val="28"/>
          <w:szCs w:val="28"/>
          <w:u w:val="single"/>
        </w:rPr>
        <w:t>1973(1) SA 796</w:t>
      </w:r>
      <w:r w:rsidR="00337DC0" w:rsidRPr="00195BBA">
        <w:rPr>
          <w:rFonts w:ascii="Arial" w:hAnsi="Arial" w:cs="Arial"/>
          <w:sz w:val="28"/>
          <w:szCs w:val="28"/>
          <w:u w:val="single"/>
        </w:rPr>
        <w:t xml:space="preserve"> (</w:t>
      </w:r>
      <w:r w:rsidRPr="00DE5C0E">
        <w:rPr>
          <w:rFonts w:ascii="Arial" w:hAnsi="Arial" w:cs="Arial"/>
          <w:sz w:val="28"/>
          <w:szCs w:val="28"/>
          <w:u w:val="single"/>
        </w:rPr>
        <w:t>A</w:t>
      </w:r>
      <w:r w:rsidR="00337DC0" w:rsidRPr="00195BBA">
        <w:rPr>
          <w:rFonts w:ascii="Arial" w:hAnsi="Arial" w:cs="Arial"/>
          <w:sz w:val="28"/>
          <w:szCs w:val="28"/>
          <w:u w:val="single"/>
        </w:rPr>
        <w:t xml:space="preserve">D) </w:t>
      </w:r>
      <w:r w:rsidR="00195BBA" w:rsidRPr="00195BBA">
        <w:rPr>
          <w:rFonts w:ascii="Arial" w:hAnsi="Arial" w:cs="Arial"/>
          <w:sz w:val="28"/>
          <w:szCs w:val="28"/>
          <w:u w:val="single"/>
        </w:rPr>
        <w:t>at 814</w:t>
      </w:r>
    </w:p>
    <w:p w14:paraId="7867E400" w14:textId="77777777" w:rsidR="00260320" w:rsidRDefault="00DE5C0E" w:rsidP="001401AF">
      <w:pPr>
        <w:autoSpaceDE w:val="0"/>
        <w:autoSpaceDN w:val="0"/>
        <w:adjustRightInd w:val="0"/>
        <w:spacing w:after="0" w:line="276" w:lineRule="auto"/>
        <w:jc w:val="both"/>
        <w:rPr>
          <w:rFonts w:ascii="Arial" w:hAnsi="Arial" w:cs="Arial"/>
          <w:sz w:val="24"/>
          <w:szCs w:val="24"/>
        </w:rPr>
      </w:pPr>
      <w:r w:rsidRPr="00DE5C0E">
        <w:rPr>
          <w:rFonts w:ascii="Arial" w:hAnsi="Arial" w:cs="Arial"/>
          <w:sz w:val="24"/>
          <w:szCs w:val="24"/>
        </w:rPr>
        <w:t xml:space="preserve">With reference to the rule in </w:t>
      </w:r>
      <w:r w:rsidRPr="00DE5C0E">
        <w:rPr>
          <w:rFonts w:ascii="Arial" w:hAnsi="Arial" w:cs="Arial"/>
          <w:b/>
          <w:bCs/>
          <w:i/>
          <w:iCs/>
          <w:sz w:val="24"/>
          <w:szCs w:val="24"/>
        </w:rPr>
        <w:t>Steyn</w:t>
      </w:r>
      <w:r w:rsidRPr="00DE5C0E">
        <w:rPr>
          <w:rFonts w:ascii="Arial" w:hAnsi="Arial" w:cs="Arial"/>
          <w:sz w:val="24"/>
          <w:szCs w:val="24"/>
        </w:rPr>
        <w:t>, the Court held that the contradiction between</w:t>
      </w:r>
      <w:r w:rsidR="001341E6">
        <w:rPr>
          <w:rFonts w:ascii="Arial" w:hAnsi="Arial" w:cs="Arial"/>
          <w:sz w:val="24"/>
          <w:szCs w:val="24"/>
        </w:rPr>
        <w:t xml:space="preserve"> </w:t>
      </w:r>
      <w:r w:rsidRPr="00DE5C0E">
        <w:rPr>
          <w:rFonts w:ascii="Arial" w:hAnsi="Arial" w:cs="Arial"/>
          <w:sz w:val="24"/>
          <w:szCs w:val="24"/>
        </w:rPr>
        <w:t>the witness’s statement and his testimony in the present case was not such as to place duty on the</w:t>
      </w:r>
      <w:r w:rsidR="001341E6">
        <w:rPr>
          <w:rFonts w:ascii="Arial" w:hAnsi="Arial" w:cs="Arial"/>
          <w:sz w:val="24"/>
          <w:szCs w:val="24"/>
        </w:rPr>
        <w:t xml:space="preserve"> </w:t>
      </w:r>
      <w:r w:rsidRPr="00DE5C0E">
        <w:rPr>
          <w:rFonts w:ascii="Arial" w:hAnsi="Arial" w:cs="Arial"/>
          <w:sz w:val="24"/>
          <w:szCs w:val="24"/>
        </w:rPr>
        <w:t xml:space="preserve">prosecutor to bring the court's attention to the inconsistency. </w:t>
      </w:r>
    </w:p>
    <w:p w14:paraId="34DA9A5D" w14:textId="48602900" w:rsidR="00260320" w:rsidRPr="001F7BF6" w:rsidRDefault="00260320" w:rsidP="001401AF">
      <w:pPr>
        <w:autoSpaceDE w:val="0"/>
        <w:autoSpaceDN w:val="0"/>
        <w:adjustRightInd w:val="0"/>
        <w:spacing w:after="0" w:line="276" w:lineRule="auto"/>
        <w:jc w:val="both"/>
        <w:rPr>
          <w:rFonts w:ascii="Arial" w:hAnsi="Arial" w:cs="Arial"/>
          <w:sz w:val="16"/>
          <w:szCs w:val="16"/>
        </w:rPr>
      </w:pPr>
    </w:p>
    <w:p w14:paraId="21C5E691" w14:textId="156DBE6A" w:rsidR="00BD5D0E" w:rsidRPr="00C2119D" w:rsidRDefault="00DE5C0E" w:rsidP="00C2119D">
      <w:pPr>
        <w:autoSpaceDE w:val="0"/>
        <w:autoSpaceDN w:val="0"/>
        <w:adjustRightInd w:val="0"/>
        <w:spacing w:after="0" w:line="276" w:lineRule="auto"/>
        <w:jc w:val="both"/>
        <w:rPr>
          <w:rFonts w:ascii="Arial" w:hAnsi="Arial" w:cs="Arial"/>
          <w:sz w:val="24"/>
          <w:szCs w:val="24"/>
        </w:rPr>
      </w:pPr>
      <w:r w:rsidRPr="00DE5C0E">
        <w:rPr>
          <w:rFonts w:ascii="Arial" w:hAnsi="Arial" w:cs="Arial"/>
          <w:sz w:val="24"/>
          <w:szCs w:val="24"/>
        </w:rPr>
        <w:t>In addition, it was held that if the accused has</w:t>
      </w:r>
      <w:r w:rsidR="001341E6">
        <w:rPr>
          <w:rFonts w:ascii="Arial" w:hAnsi="Arial" w:cs="Arial"/>
          <w:sz w:val="24"/>
          <w:szCs w:val="24"/>
        </w:rPr>
        <w:t xml:space="preserve"> </w:t>
      </w:r>
      <w:r w:rsidRPr="00DE5C0E">
        <w:rPr>
          <w:rFonts w:ascii="Arial" w:hAnsi="Arial" w:cs="Arial"/>
          <w:sz w:val="24"/>
          <w:szCs w:val="24"/>
        </w:rPr>
        <w:t>admitted the elements of the offence which are at issue in the witness statement, the statement need not be</w:t>
      </w:r>
      <w:r w:rsidR="001341E6">
        <w:rPr>
          <w:rFonts w:ascii="Arial" w:hAnsi="Arial" w:cs="Arial"/>
          <w:sz w:val="24"/>
          <w:szCs w:val="24"/>
        </w:rPr>
        <w:t xml:space="preserve"> </w:t>
      </w:r>
      <w:r w:rsidRPr="00DE5C0E">
        <w:rPr>
          <w:rFonts w:ascii="Arial" w:hAnsi="Arial" w:cs="Arial"/>
          <w:sz w:val="24"/>
          <w:szCs w:val="24"/>
        </w:rPr>
        <w:t>made available because the defence will not be able to cross-examine the state witness on the elements,</w:t>
      </w:r>
      <w:r w:rsidR="001341E6">
        <w:rPr>
          <w:rFonts w:ascii="Arial" w:hAnsi="Arial" w:cs="Arial"/>
          <w:sz w:val="24"/>
          <w:szCs w:val="24"/>
        </w:rPr>
        <w:t xml:space="preserve"> </w:t>
      </w:r>
      <w:r w:rsidRPr="00DE5C0E">
        <w:rPr>
          <w:rFonts w:ascii="Arial" w:hAnsi="Arial" w:cs="Arial"/>
          <w:sz w:val="24"/>
          <w:szCs w:val="24"/>
        </w:rPr>
        <w:t>the accused having admitted them. Even if the defence counsel had had the witness</w:t>
      </w:r>
      <w:r w:rsidR="00F85E0F">
        <w:rPr>
          <w:rFonts w:ascii="Arial" w:hAnsi="Arial" w:cs="Arial"/>
          <w:sz w:val="24"/>
          <w:szCs w:val="24"/>
        </w:rPr>
        <w:t xml:space="preserve"> statement</w:t>
      </w:r>
      <w:r w:rsidRPr="00DE5C0E">
        <w:rPr>
          <w:rFonts w:ascii="Arial" w:hAnsi="Arial" w:cs="Arial"/>
          <w:sz w:val="24"/>
          <w:szCs w:val="24"/>
        </w:rPr>
        <w:t>, he was not entitled</w:t>
      </w:r>
      <w:r w:rsidR="001341E6">
        <w:rPr>
          <w:rFonts w:ascii="Arial" w:hAnsi="Arial" w:cs="Arial"/>
          <w:sz w:val="24"/>
          <w:szCs w:val="24"/>
        </w:rPr>
        <w:t xml:space="preserve"> </w:t>
      </w:r>
      <w:r w:rsidRPr="00DE5C0E">
        <w:rPr>
          <w:rFonts w:ascii="Arial" w:hAnsi="Arial" w:cs="Arial"/>
          <w:sz w:val="24"/>
          <w:szCs w:val="24"/>
        </w:rPr>
        <w:t>to cross-examine the witness thereon because the accused had confessed to the crime. Counsel</w:t>
      </w:r>
      <w:r w:rsidR="009B2C15">
        <w:rPr>
          <w:rFonts w:ascii="Arial" w:hAnsi="Arial" w:cs="Arial"/>
          <w:sz w:val="24"/>
          <w:szCs w:val="24"/>
        </w:rPr>
        <w:t xml:space="preserve"> </w:t>
      </w:r>
      <w:r w:rsidRPr="00DE5C0E">
        <w:rPr>
          <w:rFonts w:ascii="Arial" w:hAnsi="Arial" w:cs="Arial"/>
          <w:sz w:val="24"/>
          <w:szCs w:val="24"/>
        </w:rPr>
        <w:t>for</w:t>
      </w:r>
      <w:r w:rsidR="001341E6">
        <w:rPr>
          <w:rFonts w:ascii="Arial" w:hAnsi="Arial" w:cs="Arial"/>
          <w:sz w:val="24"/>
          <w:szCs w:val="24"/>
        </w:rPr>
        <w:t xml:space="preserve"> </w:t>
      </w:r>
      <w:r w:rsidRPr="00DE5C0E">
        <w:rPr>
          <w:rFonts w:ascii="Arial" w:hAnsi="Arial" w:cs="Arial"/>
          <w:sz w:val="24"/>
          <w:szCs w:val="24"/>
        </w:rPr>
        <w:t>defence must have known what the evidence of the witness would be, and therefore could not have put it to</w:t>
      </w:r>
      <w:r w:rsidR="001341E6">
        <w:rPr>
          <w:rFonts w:ascii="Arial" w:hAnsi="Arial" w:cs="Arial"/>
          <w:sz w:val="24"/>
          <w:szCs w:val="24"/>
        </w:rPr>
        <w:t xml:space="preserve"> </w:t>
      </w:r>
      <w:r w:rsidRPr="00DE5C0E">
        <w:rPr>
          <w:rFonts w:ascii="Arial" w:hAnsi="Arial" w:cs="Arial"/>
          <w:sz w:val="24"/>
          <w:szCs w:val="24"/>
        </w:rPr>
        <w:t>the witness that his evidence was untrue</w:t>
      </w:r>
      <w:r w:rsidR="00CA2F76">
        <w:rPr>
          <w:rFonts w:ascii="Arial" w:hAnsi="Arial" w:cs="Arial"/>
          <w:sz w:val="24"/>
          <w:szCs w:val="24"/>
        </w:rPr>
        <w:t>.</w:t>
      </w:r>
    </w:p>
    <w:sectPr w:rsidR="00BD5D0E" w:rsidRPr="00C2119D" w:rsidSect="00B84C11">
      <w:headerReference w:type="default" r:id="rId6"/>
      <w:footerReference w:type="default" r:id="rId7"/>
      <w:pgSz w:w="12240" w:h="15840"/>
      <w:pgMar w:top="1440" w:right="1440" w:bottom="1440" w:left="1440" w:header="288" w:footer="144" w:gutter="0"/>
      <w:pgNumType w:start="5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AFFCF" w14:textId="77777777" w:rsidR="00617B79" w:rsidRDefault="00617B79" w:rsidP="005C3C34">
      <w:pPr>
        <w:spacing w:after="0" w:line="240" w:lineRule="auto"/>
      </w:pPr>
      <w:r>
        <w:separator/>
      </w:r>
    </w:p>
  </w:endnote>
  <w:endnote w:type="continuationSeparator" w:id="0">
    <w:p w14:paraId="5A8FF933" w14:textId="77777777" w:rsidR="00617B79" w:rsidRDefault="00617B79" w:rsidP="005C3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02542544"/>
      <w:docPartObj>
        <w:docPartGallery w:val="Page Numbers (Bottom of Page)"/>
        <w:docPartUnique/>
      </w:docPartObj>
    </w:sdtPr>
    <w:sdtEndPr>
      <w:rPr>
        <w:noProof/>
      </w:rPr>
    </w:sdtEndPr>
    <w:sdtContent>
      <w:p w14:paraId="349579C5" w14:textId="2C2CA3E6" w:rsidR="00B84C11" w:rsidRDefault="00B84C1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F91E89" w14:textId="77777777" w:rsidR="00B84C11" w:rsidRDefault="00B84C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A5D66" w14:textId="77777777" w:rsidR="00617B79" w:rsidRDefault="00617B79" w:rsidP="005C3C34">
      <w:pPr>
        <w:spacing w:after="0" w:line="240" w:lineRule="auto"/>
      </w:pPr>
      <w:r>
        <w:separator/>
      </w:r>
    </w:p>
  </w:footnote>
  <w:footnote w:type="continuationSeparator" w:id="0">
    <w:p w14:paraId="69AEAA36" w14:textId="77777777" w:rsidR="00617B79" w:rsidRDefault="00617B79" w:rsidP="005C3C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F31BD" w14:textId="1B4EB80D" w:rsidR="005C3C34" w:rsidRPr="005C3C34" w:rsidRDefault="00617B79">
    <w:pPr>
      <w:pStyle w:val="Header"/>
      <w:tabs>
        <w:tab w:val="clear" w:pos="4680"/>
        <w:tab w:val="clear" w:pos="9360"/>
      </w:tabs>
      <w:jc w:val="right"/>
      <w:rPr>
        <w:rFonts w:ascii="Times New Roman" w:hAnsi="Times New Roman" w:cs="Times New Roman"/>
        <w:color w:val="4472C4" w:themeColor="accent1"/>
        <w:sz w:val="24"/>
        <w:szCs w:val="24"/>
      </w:rPr>
    </w:pPr>
    <w:sdt>
      <w:sdtPr>
        <w:rPr>
          <w:rFonts w:ascii="Times New Roman" w:hAnsi="Times New Roman" w:cs="Times New Roman"/>
          <w:sz w:val="24"/>
          <w:szCs w:val="24"/>
        </w:rPr>
        <w:alias w:val="Title"/>
        <w:tag w:val=""/>
        <w:id w:val="664756013"/>
        <w:placeholder>
          <w:docPart w:val="816BF97C0EEF44A598B2A2A312314A02"/>
        </w:placeholder>
        <w:dataBinding w:prefixMappings="xmlns:ns0='http://purl.org/dc/elements/1.1/' xmlns:ns1='http://schemas.openxmlformats.org/package/2006/metadata/core-properties' " w:xpath="/ns1:coreProperties[1]/ns0:title[1]" w:storeItemID="{6C3C8BC8-F283-45AE-878A-BAB7291924A1}"/>
        <w:text/>
      </w:sdtPr>
      <w:sdtEndPr/>
      <w:sdtContent>
        <w:r w:rsidR="005C3C34" w:rsidRPr="005C3C34">
          <w:rPr>
            <w:rFonts w:ascii="Times New Roman" w:hAnsi="Times New Roman" w:cs="Times New Roman"/>
            <w:sz w:val="24"/>
            <w:szCs w:val="24"/>
          </w:rPr>
          <w:t>Duty of Counsel Acting as a Prosecutor to disclose a Statement made by a Witness</w:t>
        </w:r>
      </w:sdtContent>
    </w:sdt>
    <w:r w:rsidR="005C3C34" w:rsidRPr="005C3C34">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4843622D59874884BDDAFA8C8838A0EE"/>
        </w:placeholder>
        <w:dataBinding w:prefixMappings="xmlns:ns0='http://purl.org/dc/elements/1.1/' xmlns:ns1='http://schemas.openxmlformats.org/package/2006/metadata/core-properties' " w:xpath="/ns1:coreProperties[1]/ns0:creator[1]" w:storeItemID="{6C3C8BC8-F283-45AE-878A-BAB7291924A1}"/>
        <w:text/>
      </w:sdtPr>
      <w:sdtEndPr/>
      <w:sdtContent>
        <w:r w:rsidR="005C3C34" w:rsidRPr="005C3C34">
          <w:rPr>
            <w:rFonts w:ascii="Times New Roman" w:hAnsi="Times New Roman" w:cs="Times New Roman"/>
            <w:sz w:val="24"/>
            <w:szCs w:val="24"/>
          </w:rPr>
          <w:t>Ethics</w:t>
        </w:r>
      </w:sdtContent>
    </w:sdt>
  </w:p>
  <w:p w14:paraId="2FA1E07C" w14:textId="77777777" w:rsidR="005C3C34" w:rsidRDefault="005C3C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16C"/>
    <w:rsid w:val="000476FA"/>
    <w:rsid w:val="000518B3"/>
    <w:rsid w:val="00075F18"/>
    <w:rsid w:val="000C31D4"/>
    <w:rsid w:val="001341E6"/>
    <w:rsid w:val="001401AF"/>
    <w:rsid w:val="00195BBA"/>
    <w:rsid w:val="001F7BF6"/>
    <w:rsid w:val="00260320"/>
    <w:rsid w:val="002C7364"/>
    <w:rsid w:val="002E5276"/>
    <w:rsid w:val="002F5DFB"/>
    <w:rsid w:val="00337DC0"/>
    <w:rsid w:val="00346837"/>
    <w:rsid w:val="003C38C7"/>
    <w:rsid w:val="004B3D63"/>
    <w:rsid w:val="005C3C34"/>
    <w:rsid w:val="00617B79"/>
    <w:rsid w:val="007016CB"/>
    <w:rsid w:val="007032BC"/>
    <w:rsid w:val="008B0570"/>
    <w:rsid w:val="009A5939"/>
    <w:rsid w:val="009B2C15"/>
    <w:rsid w:val="00AC5761"/>
    <w:rsid w:val="00AF1E52"/>
    <w:rsid w:val="00B84C11"/>
    <w:rsid w:val="00BD5D0E"/>
    <w:rsid w:val="00BE116C"/>
    <w:rsid w:val="00C2119D"/>
    <w:rsid w:val="00C73E8D"/>
    <w:rsid w:val="00C838BD"/>
    <w:rsid w:val="00CA2F76"/>
    <w:rsid w:val="00CB3EA6"/>
    <w:rsid w:val="00D014E6"/>
    <w:rsid w:val="00D3017A"/>
    <w:rsid w:val="00D36678"/>
    <w:rsid w:val="00D87779"/>
    <w:rsid w:val="00DB7873"/>
    <w:rsid w:val="00DD27C0"/>
    <w:rsid w:val="00DE5C0E"/>
    <w:rsid w:val="00E3328E"/>
    <w:rsid w:val="00ED42EA"/>
    <w:rsid w:val="00F17713"/>
    <w:rsid w:val="00F76B7C"/>
    <w:rsid w:val="00F85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5553B"/>
  <w15:chartTrackingRefBased/>
  <w15:docId w15:val="{5DA2419B-42BC-4606-888D-907D14B1C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5939"/>
    <w:rPr>
      <w:color w:val="0563C1" w:themeColor="hyperlink"/>
      <w:u w:val="single"/>
    </w:rPr>
  </w:style>
  <w:style w:type="character" w:styleId="UnresolvedMention">
    <w:name w:val="Unresolved Mention"/>
    <w:basedOn w:val="DefaultParagraphFont"/>
    <w:uiPriority w:val="99"/>
    <w:semiHidden/>
    <w:unhideWhenUsed/>
    <w:rsid w:val="009A5939"/>
    <w:rPr>
      <w:color w:val="605E5C"/>
      <w:shd w:val="clear" w:color="auto" w:fill="E1DFDD"/>
    </w:rPr>
  </w:style>
  <w:style w:type="paragraph" w:styleId="Header">
    <w:name w:val="header"/>
    <w:basedOn w:val="Normal"/>
    <w:link w:val="HeaderChar"/>
    <w:uiPriority w:val="99"/>
    <w:unhideWhenUsed/>
    <w:rsid w:val="005C3C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34"/>
  </w:style>
  <w:style w:type="paragraph" w:styleId="Footer">
    <w:name w:val="footer"/>
    <w:basedOn w:val="Normal"/>
    <w:link w:val="FooterChar"/>
    <w:uiPriority w:val="99"/>
    <w:unhideWhenUsed/>
    <w:rsid w:val="005C3C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753487">
      <w:bodyDiv w:val="1"/>
      <w:marLeft w:val="0"/>
      <w:marRight w:val="0"/>
      <w:marTop w:val="0"/>
      <w:marBottom w:val="0"/>
      <w:divBdr>
        <w:top w:val="none" w:sz="0" w:space="0" w:color="auto"/>
        <w:left w:val="none" w:sz="0" w:space="0" w:color="auto"/>
        <w:bottom w:val="none" w:sz="0" w:space="0" w:color="auto"/>
        <w:right w:val="none" w:sz="0" w:space="0" w:color="auto"/>
      </w:divBdr>
      <w:divsChild>
        <w:div w:id="1554268888">
          <w:marLeft w:val="0"/>
          <w:marRight w:val="0"/>
          <w:marTop w:val="120"/>
          <w:marBottom w:val="0"/>
          <w:divBdr>
            <w:top w:val="none" w:sz="0" w:space="0" w:color="auto"/>
            <w:left w:val="none" w:sz="0" w:space="0" w:color="auto"/>
            <w:bottom w:val="none" w:sz="0" w:space="0" w:color="auto"/>
            <w:right w:val="none" w:sz="0" w:space="0" w:color="auto"/>
          </w:divBdr>
        </w:div>
        <w:div w:id="1794129786">
          <w:marLeft w:val="567"/>
          <w:marRight w:val="0"/>
          <w:marTop w:val="120"/>
          <w:marBottom w:val="0"/>
          <w:divBdr>
            <w:top w:val="none" w:sz="0" w:space="0" w:color="auto"/>
            <w:left w:val="none" w:sz="0" w:space="0" w:color="auto"/>
            <w:bottom w:val="none" w:sz="0" w:space="0" w:color="auto"/>
            <w:right w:val="none" w:sz="0" w:space="0" w:color="auto"/>
          </w:divBdr>
        </w:div>
        <w:div w:id="893740680">
          <w:marLeft w:val="567"/>
          <w:marRight w:val="0"/>
          <w:marTop w:val="120"/>
          <w:marBottom w:val="0"/>
          <w:divBdr>
            <w:top w:val="none" w:sz="0" w:space="0" w:color="auto"/>
            <w:left w:val="none" w:sz="0" w:space="0" w:color="auto"/>
            <w:bottom w:val="none" w:sz="0" w:space="0" w:color="auto"/>
            <w:right w:val="none" w:sz="0" w:space="0" w:color="auto"/>
          </w:divBdr>
        </w:div>
      </w:divsChild>
    </w:div>
    <w:div w:id="1039433563">
      <w:bodyDiv w:val="1"/>
      <w:marLeft w:val="0"/>
      <w:marRight w:val="0"/>
      <w:marTop w:val="0"/>
      <w:marBottom w:val="0"/>
      <w:divBdr>
        <w:top w:val="none" w:sz="0" w:space="0" w:color="auto"/>
        <w:left w:val="none" w:sz="0" w:space="0" w:color="auto"/>
        <w:bottom w:val="none" w:sz="0" w:space="0" w:color="auto"/>
        <w:right w:val="none" w:sz="0" w:space="0" w:color="auto"/>
      </w:divBdr>
      <w:divsChild>
        <w:div w:id="1482186208">
          <w:marLeft w:val="0"/>
          <w:marRight w:val="0"/>
          <w:marTop w:val="120"/>
          <w:marBottom w:val="0"/>
          <w:divBdr>
            <w:top w:val="none" w:sz="0" w:space="0" w:color="auto"/>
            <w:left w:val="none" w:sz="0" w:space="0" w:color="auto"/>
            <w:bottom w:val="none" w:sz="0" w:space="0" w:color="auto"/>
            <w:right w:val="none" w:sz="0" w:space="0" w:color="auto"/>
          </w:divBdr>
        </w:div>
        <w:div w:id="2119252231">
          <w:marLeft w:val="567"/>
          <w:marRight w:val="0"/>
          <w:marTop w:val="120"/>
          <w:marBottom w:val="0"/>
          <w:divBdr>
            <w:top w:val="none" w:sz="0" w:space="0" w:color="auto"/>
            <w:left w:val="none" w:sz="0" w:space="0" w:color="auto"/>
            <w:bottom w:val="none" w:sz="0" w:space="0" w:color="auto"/>
            <w:right w:val="none" w:sz="0" w:space="0" w:color="auto"/>
          </w:divBdr>
        </w:div>
        <w:div w:id="1800028506">
          <w:marLeft w:val="0"/>
          <w:marRight w:val="0"/>
          <w:marTop w:val="120"/>
          <w:marBottom w:val="0"/>
          <w:divBdr>
            <w:top w:val="none" w:sz="0" w:space="0" w:color="auto"/>
            <w:left w:val="none" w:sz="0" w:space="0" w:color="auto"/>
            <w:bottom w:val="none" w:sz="0" w:space="0" w:color="auto"/>
            <w:right w:val="none" w:sz="0" w:space="0" w:color="auto"/>
          </w:divBdr>
        </w:div>
      </w:divsChild>
    </w:div>
    <w:div w:id="1492674353">
      <w:bodyDiv w:val="1"/>
      <w:marLeft w:val="0"/>
      <w:marRight w:val="0"/>
      <w:marTop w:val="0"/>
      <w:marBottom w:val="0"/>
      <w:divBdr>
        <w:top w:val="none" w:sz="0" w:space="0" w:color="auto"/>
        <w:left w:val="none" w:sz="0" w:space="0" w:color="auto"/>
        <w:bottom w:val="none" w:sz="0" w:space="0" w:color="auto"/>
        <w:right w:val="none" w:sz="0" w:space="0" w:color="auto"/>
      </w:divBdr>
      <w:divsChild>
        <w:div w:id="1223523355">
          <w:marLeft w:val="0"/>
          <w:marRight w:val="0"/>
          <w:marTop w:val="120"/>
          <w:marBottom w:val="0"/>
          <w:divBdr>
            <w:top w:val="none" w:sz="0" w:space="0" w:color="auto"/>
            <w:left w:val="none" w:sz="0" w:space="0" w:color="auto"/>
            <w:bottom w:val="none" w:sz="0" w:space="0" w:color="auto"/>
            <w:right w:val="none" w:sz="0" w:space="0" w:color="auto"/>
          </w:divBdr>
        </w:div>
        <w:div w:id="1087312885">
          <w:marLeft w:val="0"/>
          <w:marRight w:val="0"/>
          <w:marTop w:val="120"/>
          <w:marBottom w:val="0"/>
          <w:divBdr>
            <w:top w:val="none" w:sz="0" w:space="0" w:color="auto"/>
            <w:left w:val="none" w:sz="0" w:space="0" w:color="auto"/>
            <w:bottom w:val="none" w:sz="0" w:space="0" w:color="auto"/>
            <w:right w:val="none" w:sz="0" w:space="0" w:color="auto"/>
          </w:divBdr>
        </w:div>
        <w:div w:id="640307110">
          <w:marLeft w:val="0"/>
          <w:marRight w:val="0"/>
          <w:marTop w:val="120"/>
          <w:marBottom w:val="0"/>
          <w:divBdr>
            <w:top w:val="none" w:sz="0" w:space="0" w:color="auto"/>
            <w:left w:val="none" w:sz="0" w:space="0" w:color="auto"/>
            <w:bottom w:val="none" w:sz="0" w:space="0" w:color="auto"/>
            <w:right w:val="none" w:sz="0" w:space="0" w:color="auto"/>
          </w:divBdr>
        </w:div>
        <w:div w:id="887840693">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16BF97C0EEF44A598B2A2A312314A02"/>
        <w:category>
          <w:name w:val="General"/>
          <w:gallery w:val="placeholder"/>
        </w:category>
        <w:types>
          <w:type w:val="bbPlcHdr"/>
        </w:types>
        <w:behaviors>
          <w:behavior w:val="content"/>
        </w:behaviors>
        <w:guid w:val="{9B9E9026-1D34-47DC-A4A4-5BF79D879D71}"/>
      </w:docPartPr>
      <w:docPartBody>
        <w:p w:rsidR="00351242" w:rsidRDefault="0025085F" w:rsidP="0025085F">
          <w:pPr>
            <w:pStyle w:val="816BF97C0EEF44A598B2A2A312314A02"/>
          </w:pPr>
          <w:r>
            <w:rPr>
              <w:color w:val="4472C4" w:themeColor="accent1"/>
            </w:rPr>
            <w:t>[Document title]</w:t>
          </w:r>
        </w:p>
      </w:docPartBody>
    </w:docPart>
    <w:docPart>
      <w:docPartPr>
        <w:name w:val="4843622D59874884BDDAFA8C8838A0EE"/>
        <w:category>
          <w:name w:val="General"/>
          <w:gallery w:val="placeholder"/>
        </w:category>
        <w:types>
          <w:type w:val="bbPlcHdr"/>
        </w:types>
        <w:behaviors>
          <w:behavior w:val="content"/>
        </w:behaviors>
        <w:guid w:val="{B2352080-EC24-4C15-B2B3-133DDAFF4D17}"/>
      </w:docPartPr>
      <w:docPartBody>
        <w:p w:rsidR="00351242" w:rsidRDefault="0025085F" w:rsidP="0025085F">
          <w:pPr>
            <w:pStyle w:val="4843622D59874884BDDAFA8C8838A0EE"/>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85F"/>
    <w:rsid w:val="0025085F"/>
    <w:rsid w:val="002902C7"/>
    <w:rsid w:val="00351242"/>
    <w:rsid w:val="00D51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16BF97C0EEF44A598B2A2A312314A02">
    <w:name w:val="816BF97C0EEF44A598B2A2A312314A02"/>
    <w:rsid w:val="0025085F"/>
  </w:style>
  <w:style w:type="paragraph" w:customStyle="1" w:styleId="4843622D59874884BDDAFA8C8838A0EE">
    <w:name w:val="4843622D59874884BDDAFA8C8838A0EE"/>
    <w:rsid w:val="002508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Duty of Counsel Acting as a Prosecutor to disclose a Statement made by a Witness</vt:lpstr>
    </vt:vector>
  </TitlesOfParts>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Duty of Counsel Acting as a Prosecutor to disclose a Statement made by a Witness</dc:title>
  <dc:subject/>
  <dc:creator>Ethics</dc:creator>
  <cp:keywords/>
  <dc:description/>
  <cp:lastModifiedBy>Chantal Dittberner</cp:lastModifiedBy>
  <cp:revision>43</cp:revision>
  <cp:lastPrinted>2019-01-11T08:00:00Z</cp:lastPrinted>
  <dcterms:created xsi:type="dcterms:W3CDTF">2018-12-12T16:59:00Z</dcterms:created>
  <dcterms:modified xsi:type="dcterms:W3CDTF">2019-01-11T08:00:00Z</dcterms:modified>
</cp:coreProperties>
</file>