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7AA06" w14:textId="7DF7B4B2" w:rsidR="00FE54D5" w:rsidRPr="00FE54D5" w:rsidRDefault="00AC393C" w:rsidP="002F231C">
      <w:pPr>
        <w:pStyle w:val="NoSpacing"/>
        <w:spacing w:line="276" w:lineRule="auto"/>
        <w:jc w:val="both"/>
        <w:rPr>
          <w:rFonts w:ascii="Arial" w:hAnsi="Arial" w:cs="Arial"/>
          <w:sz w:val="28"/>
          <w:szCs w:val="28"/>
          <w:u w:val="single"/>
        </w:rPr>
      </w:pPr>
      <w:bookmarkStart w:id="0" w:name="_GoBack"/>
      <w:bookmarkEnd w:id="0"/>
      <w:r w:rsidRPr="007807BE">
        <w:rPr>
          <w:rFonts w:ascii="Arial" w:eastAsiaTheme="minorHAnsi" w:hAnsi="Arial" w:cs="Arial"/>
          <w:noProof/>
          <w:sz w:val="24"/>
          <w:szCs w:val="24"/>
        </w:rPr>
        <mc:AlternateContent>
          <mc:Choice Requires="wps">
            <w:drawing>
              <wp:anchor distT="45720" distB="45720" distL="114300" distR="114300" simplePos="0" relativeHeight="251659264" behindDoc="0" locked="0" layoutInCell="1" allowOverlap="1" wp14:anchorId="7651CFD1" wp14:editId="6072F015">
                <wp:simplePos x="0" y="0"/>
                <wp:positionH relativeFrom="margin">
                  <wp:posOffset>3219450</wp:posOffset>
                </wp:positionH>
                <wp:positionV relativeFrom="paragraph">
                  <wp:posOffset>0</wp:posOffset>
                </wp:positionV>
                <wp:extent cx="3181350" cy="79152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7915275"/>
                        </a:xfrm>
                        <a:prstGeom prst="rect">
                          <a:avLst/>
                        </a:prstGeom>
                        <a:solidFill>
                          <a:srgbClr val="FFFFFF"/>
                        </a:solidFill>
                        <a:ln w="9525">
                          <a:solidFill>
                            <a:srgbClr val="000000"/>
                          </a:solidFill>
                          <a:miter lim="800000"/>
                          <a:headEnd/>
                          <a:tailEnd/>
                        </a:ln>
                      </wps:spPr>
                      <wps:txbx>
                        <w:txbxContent>
                          <w:p w14:paraId="0E2BDAA5" w14:textId="77777777" w:rsidR="007807BE" w:rsidRPr="009042A0" w:rsidRDefault="007807BE" w:rsidP="009042A0">
                            <w:pPr>
                              <w:spacing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687B9DEA" w14:textId="1D95DC3C" w:rsidR="000C796A" w:rsidRPr="000C796A" w:rsidRDefault="00801DF6" w:rsidP="009042A0">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603A-E</w:t>
                            </w:r>
                            <w:r w:rsidR="007807BE" w:rsidRPr="009042A0">
                              <w:rPr>
                                <w:rFonts w:ascii="Times New Roman" w:hAnsi="Times New Roman" w:cs="Times New Roman"/>
                                <w:b/>
                                <w:i/>
                                <w:sz w:val="22"/>
                                <w:szCs w:val="22"/>
                              </w:rPr>
                              <w:t>:</w:t>
                            </w:r>
                            <w:r w:rsidR="007807BE" w:rsidRPr="009042A0">
                              <w:rPr>
                                <w:rFonts w:ascii="Times New Roman" w:hAnsi="Times New Roman" w:cs="Times New Roman"/>
                                <w:i/>
                                <w:sz w:val="22"/>
                                <w:szCs w:val="22"/>
                              </w:rPr>
                              <w:t xml:space="preserve"> “</w:t>
                            </w:r>
                            <w:r w:rsidR="000C796A" w:rsidRPr="009042A0">
                              <w:rPr>
                                <w:rFonts w:ascii="Times New Roman" w:hAnsi="Times New Roman" w:cs="Times New Roman"/>
                                <w:i/>
                                <w:sz w:val="22"/>
                                <w:szCs w:val="22"/>
                              </w:rPr>
                              <w:t>SAAPIL's fundamental complaint is that it is irrational for parliament to have enacted a different regime for contingency fees for legal practitioners, in comparison to agreements of champerty and maintenance which may be entered into by ordinary members of the public.</w:t>
                            </w:r>
                            <w:r w:rsidR="009042A0">
                              <w:rPr>
                                <w:rFonts w:ascii="Times New Roman" w:hAnsi="Times New Roman" w:cs="Times New Roman"/>
                                <w:i/>
                                <w:sz w:val="22"/>
                                <w:szCs w:val="22"/>
                              </w:rPr>
                              <w:t xml:space="preserve"> </w:t>
                            </w:r>
                            <w:r w:rsidR="000C796A" w:rsidRPr="000C796A">
                              <w:rPr>
                                <w:rFonts w:ascii="Times New Roman" w:hAnsi="Times New Roman" w:cs="Times New Roman"/>
                                <w:i/>
                                <w:sz w:val="22"/>
                                <w:szCs w:val="22"/>
                              </w:rPr>
                              <w:t xml:space="preserve">This argument, however, overlooks the obvious and fundamental differences between legal practitioners who enter contingency fee agreements, on the one hand, and lay persons who enter into champerty and maintenance agreements, on the other. As pointed out by the Fund, there are four fundamental and overlapping differences. First, </w:t>
                            </w:r>
                            <w:r w:rsidR="000C796A" w:rsidRPr="000C796A">
                              <w:rPr>
                                <w:rFonts w:ascii="Times New Roman" w:hAnsi="Times New Roman" w:cs="Times New Roman"/>
                                <w:i/>
                                <w:sz w:val="22"/>
                                <w:szCs w:val="22"/>
                                <w:u w:val="single"/>
                              </w:rPr>
                              <w:t>legal practitioners are responsible for conducting the litigation concerned. They run the case and are responsible for advising on and taking the litigation decisions.</w:t>
                            </w:r>
                            <w:r w:rsidR="000C796A" w:rsidRPr="000C796A">
                              <w:rPr>
                                <w:rFonts w:ascii="Times New Roman" w:hAnsi="Times New Roman" w:cs="Times New Roman"/>
                                <w:i/>
                                <w:sz w:val="22"/>
                                <w:szCs w:val="22"/>
                              </w:rPr>
                              <w:t xml:space="preserve"> Lay persons who enter into champerty and maintenance agreements do not engage in any of these activities.</w:t>
                            </w:r>
                            <w:r w:rsidR="009042A0">
                              <w:rPr>
                                <w:rFonts w:ascii="Times New Roman" w:hAnsi="Times New Roman" w:cs="Times New Roman"/>
                                <w:i/>
                                <w:sz w:val="22"/>
                                <w:szCs w:val="22"/>
                              </w:rPr>
                              <w:t xml:space="preserve"> </w:t>
                            </w:r>
                            <w:r w:rsidR="000C796A" w:rsidRPr="000C796A">
                              <w:rPr>
                                <w:rFonts w:ascii="Times New Roman" w:hAnsi="Times New Roman" w:cs="Times New Roman"/>
                                <w:i/>
                                <w:sz w:val="22"/>
                                <w:szCs w:val="22"/>
                              </w:rPr>
                              <w:t xml:space="preserve">Second, </w:t>
                            </w:r>
                            <w:r w:rsidR="000C796A" w:rsidRPr="000C796A">
                              <w:rPr>
                                <w:rFonts w:ascii="Times New Roman" w:hAnsi="Times New Roman" w:cs="Times New Roman"/>
                                <w:i/>
                                <w:sz w:val="22"/>
                                <w:szCs w:val="22"/>
                                <w:u w:val="single"/>
                              </w:rPr>
                              <w:t>legal practitioners have specialised knowledge and training which equip them to conduct litigation. They are perceived by their clients as being experts on the decisions to be taken. This puts lawyers in a powerful position to influence the actual conduct of litigation.</w:t>
                            </w:r>
                            <w:r w:rsidR="000C796A" w:rsidRPr="000C796A">
                              <w:rPr>
                                <w:rFonts w:ascii="Times New Roman" w:hAnsi="Times New Roman" w:cs="Times New Roman"/>
                                <w:i/>
                                <w:sz w:val="22"/>
                                <w:szCs w:val="22"/>
                              </w:rPr>
                              <w:t xml:space="preserve"> Lay persons who enter into champerty and maintenance agreements do not possess any of these skills or characteristics. Third, </w:t>
                            </w:r>
                            <w:r w:rsidR="000C796A" w:rsidRPr="000C796A">
                              <w:rPr>
                                <w:rFonts w:ascii="Times New Roman" w:hAnsi="Times New Roman" w:cs="Times New Roman"/>
                                <w:i/>
                                <w:sz w:val="22"/>
                                <w:szCs w:val="22"/>
                                <w:u w:val="single"/>
                              </w:rPr>
                              <w:t xml:space="preserve">legal practitioners are bound by a range of ethical duties to their clients. </w:t>
                            </w:r>
                            <w:bookmarkStart w:id="1" w:name="0-0-0-128975"/>
                            <w:bookmarkEnd w:id="1"/>
                            <w:r w:rsidR="000C796A" w:rsidRPr="000C796A">
                              <w:rPr>
                                <w:rFonts w:ascii="Times New Roman" w:hAnsi="Times New Roman" w:cs="Times New Roman"/>
                                <w:i/>
                                <w:sz w:val="22"/>
                                <w:szCs w:val="22"/>
                                <w:u w:val="single"/>
                              </w:rPr>
                              <w:t>These duties may well come into conflict with their own pecuniary interest in the litigation when contingency fee agreements are concluded.</w:t>
                            </w:r>
                            <w:r w:rsidR="000C796A" w:rsidRPr="000C796A">
                              <w:rPr>
                                <w:rFonts w:ascii="Times New Roman" w:hAnsi="Times New Roman" w:cs="Times New Roman"/>
                                <w:i/>
                                <w:sz w:val="22"/>
                                <w:szCs w:val="22"/>
                              </w:rPr>
                              <w:t xml:space="preserve"> Lay persons who enter champerty and maintenance agreements have no such ethical or other duties. There is, therefore, no possibility of a conflict of interest in this regard. Lastly, </w:t>
                            </w:r>
                            <w:r w:rsidR="000C796A" w:rsidRPr="000C796A">
                              <w:rPr>
                                <w:rFonts w:ascii="Times New Roman" w:hAnsi="Times New Roman" w:cs="Times New Roman"/>
                                <w:i/>
                                <w:sz w:val="22"/>
                                <w:szCs w:val="22"/>
                                <w:u w:val="single"/>
                              </w:rPr>
                              <w:t>legal practitioners are bound by a range of ethical duties to the court.</w:t>
                            </w:r>
                            <w:bookmarkStart w:id="2" w:name="0-0-0-128979"/>
                            <w:bookmarkEnd w:id="2"/>
                            <w:r w:rsidR="00081BAE" w:rsidRPr="00720BAC">
                              <w:rPr>
                                <w:rFonts w:ascii="Times New Roman" w:hAnsi="Times New Roman" w:cs="Times New Roman"/>
                                <w:i/>
                                <w:sz w:val="22"/>
                                <w:szCs w:val="22"/>
                                <w:u w:val="single"/>
                              </w:rPr>
                              <w:t xml:space="preserve"> </w:t>
                            </w:r>
                            <w:r w:rsidR="000C796A" w:rsidRPr="000C796A">
                              <w:rPr>
                                <w:rFonts w:ascii="Times New Roman" w:hAnsi="Times New Roman" w:cs="Times New Roman"/>
                                <w:i/>
                                <w:sz w:val="22"/>
                                <w:szCs w:val="22"/>
                                <w:u w:val="single"/>
                              </w:rPr>
                              <w:t xml:space="preserve">Again, these duties may well come into conflict with their own pecuniary interest in the litigation when contingency fee agreements are concluded. </w:t>
                            </w:r>
                            <w:r w:rsidR="000C796A" w:rsidRPr="000C796A">
                              <w:rPr>
                                <w:rFonts w:ascii="Times New Roman" w:hAnsi="Times New Roman" w:cs="Times New Roman"/>
                                <w:i/>
                                <w:sz w:val="22"/>
                                <w:szCs w:val="22"/>
                              </w:rPr>
                              <w:t>Lay persons who enter into champerty and maintenance agreements owe no such ethical duties to the court or to litigants. There is, therefore, no possibility of a conflict of interest in this regard.</w:t>
                            </w:r>
                            <w:r w:rsidR="003D0D76">
                              <w:rPr>
                                <w:rFonts w:ascii="Times New Roman" w:hAnsi="Times New Roman" w:cs="Times New Roman"/>
                                <w:i/>
                                <w:sz w:val="22"/>
                                <w:szCs w:val="22"/>
                              </w:rPr>
                              <w:t>”</w:t>
                            </w:r>
                          </w:p>
                          <w:p w14:paraId="436FAA22" w14:textId="77777777" w:rsidR="007807BE" w:rsidRPr="00101B97" w:rsidRDefault="007807BE" w:rsidP="007807BE">
                            <w:pPr>
                              <w:spacing w:line="276" w:lineRule="auto"/>
                              <w:rPr>
                                <w:i/>
                                <w:sz w:val="22"/>
                                <w:szCs w:val="22"/>
                              </w:rPr>
                            </w:pPr>
                          </w:p>
                          <w:p w14:paraId="2DDEAB0D" w14:textId="77777777" w:rsidR="007807BE" w:rsidRPr="00101B97" w:rsidRDefault="007807BE" w:rsidP="007807BE">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51CFD1" id="_x0000_t202" coordsize="21600,21600" o:spt="202" path="m,l,21600r21600,l21600,xe">
                <v:stroke joinstyle="miter"/>
                <v:path gradientshapeok="t" o:connecttype="rect"/>
              </v:shapetype>
              <v:shape id="Text Box 2" o:spid="_x0000_s1026" type="#_x0000_t202" style="position:absolute;left:0;text-align:left;margin-left:253.5pt;margin-top:0;width:250.5pt;height:623.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MEDJQIAAEcEAAAOAAAAZHJzL2Uyb0RvYy54bWysU9uO2yAQfa/Uf0C8N469cZNYcVbbbFNV&#10;2l6k3X4AxjhGBcYFEnv79Ttgb5reXqrygBhmOMycM7O5HrQiJ2GdBFPSdDanRBgOtTSHkn552L9a&#10;UeI8MzVTYERJH4Wj19uXLzZ9V4gMWlC1sARBjCv6rqSt912RJI63QjM3g04YdDZgNfNo2kNSW9Yj&#10;ulZJNp+/TnqwdWeBC+fw9nZ00m3EbxrB/aemccITVVLMzcfdxr0Ke7LdsOJgWddKPqXB/iELzaTB&#10;T89Qt8wzcrTyNygtuQUHjZ9x0Ak0jeQi1oDVpPNfqrlvWSdiLUiO6840uf8Hyz+ePlsi65Jm6ZIS&#10;wzSK9CAGT97AQLLAT9+5AsPuOwz0A16jzrFW190B/+qIgV3LzEHcWAt9K1iN+aXhZXLxdMRxAaTq&#10;P0CN37Cjhwg0NFYH8pAOguio0+NZm5AKx8urdJVe5eji6Fuu0zxb5vEPVjw/76zz7wRoEg4ltSh+&#10;hGenO+dDOqx4Dgm/OVCy3kulomEP1U5ZcmLYKPu4JvSfwpQhfUnXeZaPDPwVYh7XnyC09NjxSuqS&#10;rs5BrAi8vTV17EfPpBrPmLIyE5GBu5FFP1TDJEwF9SNSamHsbJxEPLRgv1PSY1eX1H07MisoUe8N&#10;yrJOF4swBtFY5MsMDXvpqS49zHCEKqmnZDzufBydQJiBG5SvkZHYoPOYyZQrdmvke5qsMA6Xdoz6&#10;Mf/bJwAAAP//AwBQSwMEFAAGAAgAAAAhADszA4LfAAAACgEAAA8AAABkcnMvZG93bnJldi54bWxM&#10;j0FPwzAMhe9I/IfISFwQSxhbV0rTCSGB4AYDwTVrvLYicUqTdeXf453gYj3rWc/fK9eTd2LEIXaB&#10;NFzNFAikOtiOGg3vbw+XOYiYDFnjAqGGH4ywrk5PSlPYcKBXHDepERxCsTAa2pT6QspYt+hNnIUe&#10;ib1dGLxJvA6NtIM5cLh3cq5UJr3piD+0psf7Fuuvzd5ryBdP42d8vn75qLOdu0kXq/Hxe9D6/Gy6&#10;uwWRcEp/x3DEZ3SomGkb9mSjcBqWasVdkgaeR1upnNWW1XyRLUFWpfxfofoFAAD//wMAUEsBAi0A&#10;FAAGAAgAAAAhALaDOJL+AAAA4QEAABMAAAAAAAAAAAAAAAAAAAAAAFtDb250ZW50X1R5cGVzXS54&#10;bWxQSwECLQAUAAYACAAAACEAOP0h/9YAAACUAQAACwAAAAAAAAAAAAAAAAAvAQAAX3JlbHMvLnJl&#10;bHNQSwECLQAUAAYACAAAACEAOnTBAyUCAABHBAAADgAAAAAAAAAAAAAAAAAuAgAAZHJzL2Uyb0Rv&#10;Yy54bWxQSwECLQAUAAYACAAAACEAOzMDgt8AAAAKAQAADwAAAAAAAAAAAAAAAAB/BAAAZHJzL2Rv&#10;d25yZXYueG1sUEsFBgAAAAAEAAQA8wAAAIsFAAAAAA==&#10;">
                <v:textbox>
                  <w:txbxContent>
                    <w:p w14:paraId="0E2BDAA5" w14:textId="77777777" w:rsidR="007807BE" w:rsidRPr="009042A0" w:rsidRDefault="007807BE" w:rsidP="009042A0">
                      <w:pPr>
                        <w:spacing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687B9DEA" w14:textId="1D95DC3C" w:rsidR="000C796A" w:rsidRPr="000C796A" w:rsidRDefault="00801DF6" w:rsidP="009042A0">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603A-E</w:t>
                      </w:r>
                      <w:r w:rsidR="007807BE" w:rsidRPr="009042A0">
                        <w:rPr>
                          <w:rFonts w:ascii="Times New Roman" w:hAnsi="Times New Roman" w:cs="Times New Roman"/>
                          <w:b/>
                          <w:i/>
                          <w:sz w:val="22"/>
                          <w:szCs w:val="22"/>
                        </w:rPr>
                        <w:t>:</w:t>
                      </w:r>
                      <w:r w:rsidR="007807BE" w:rsidRPr="009042A0">
                        <w:rPr>
                          <w:rFonts w:ascii="Times New Roman" w:hAnsi="Times New Roman" w:cs="Times New Roman"/>
                          <w:i/>
                          <w:sz w:val="22"/>
                          <w:szCs w:val="22"/>
                        </w:rPr>
                        <w:t xml:space="preserve"> “</w:t>
                      </w:r>
                      <w:r w:rsidR="000C796A" w:rsidRPr="009042A0">
                        <w:rPr>
                          <w:rFonts w:ascii="Times New Roman" w:hAnsi="Times New Roman" w:cs="Times New Roman"/>
                          <w:i/>
                          <w:sz w:val="22"/>
                          <w:szCs w:val="22"/>
                        </w:rPr>
                        <w:t>SAAPIL's fundamental complaint is that it is irrational for parliament to have enacted a different regime for contingency fees for legal practitioners, in comparison to agreements of champerty and maintenance which may be entered into by ordinary members of the public.</w:t>
                      </w:r>
                      <w:r w:rsidR="009042A0">
                        <w:rPr>
                          <w:rFonts w:ascii="Times New Roman" w:hAnsi="Times New Roman" w:cs="Times New Roman"/>
                          <w:i/>
                          <w:sz w:val="22"/>
                          <w:szCs w:val="22"/>
                        </w:rPr>
                        <w:t xml:space="preserve"> </w:t>
                      </w:r>
                      <w:r w:rsidR="000C796A" w:rsidRPr="000C796A">
                        <w:rPr>
                          <w:rFonts w:ascii="Times New Roman" w:hAnsi="Times New Roman" w:cs="Times New Roman"/>
                          <w:i/>
                          <w:sz w:val="22"/>
                          <w:szCs w:val="22"/>
                        </w:rPr>
                        <w:t xml:space="preserve">This argument, however, overlooks the obvious and fundamental differences between legal practitioners who enter contingency fee agreements, on the one hand, and lay persons who enter into champerty and maintenance agreements, on the other. As pointed out by the Fund, there are four fundamental and overlapping differences. First, </w:t>
                      </w:r>
                      <w:r w:rsidR="000C796A" w:rsidRPr="000C796A">
                        <w:rPr>
                          <w:rFonts w:ascii="Times New Roman" w:hAnsi="Times New Roman" w:cs="Times New Roman"/>
                          <w:i/>
                          <w:sz w:val="22"/>
                          <w:szCs w:val="22"/>
                          <w:u w:val="single"/>
                        </w:rPr>
                        <w:t>legal practitioners are responsible for conducting the litigation concerned. They run the case and are responsible for advising on and taking the litigation decisions.</w:t>
                      </w:r>
                      <w:r w:rsidR="000C796A" w:rsidRPr="000C796A">
                        <w:rPr>
                          <w:rFonts w:ascii="Times New Roman" w:hAnsi="Times New Roman" w:cs="Times New Roman"/>
                          <w:i/>
                          <w:sz w:val="22"/>
                          <w:szCs w:val="22"/>
                        </w:rPr>
                        <w:t xml:space="preserve"> Lay persons who enter into champerty and maintenance agreements do not engage in any of these activities.</w:t>
                      </w:r>
                      <w:r w:rsidR="009042A0">
                        <w:rPr>
                          <w:rFonts w:ascii="Times New Roman" w:hAnsi="Times New Roman" w:cs="Times New Roman"/>
                          <w:i/>
                          <w:sz w:val="22"/>
                          <w:szCs w:val="22"/>
                        </w:rPr>
                        <w:t xml:space="preserve"> </w:t>
                      </w:r>
                      <w:r w:rsidR="000C796A" w:rsidRPr="000C796A">
                        <w:rPr>
                          <w:rFonts w:ascii="Times New Roman" w:hAnsi="Times New Roman" w:cs="Times New Roman"/>
                          <w:i/>
                          <w:sz w:val="22"/>
                          <w:szCs w:val="22"/>
                        </w:rPr>
                        <w:t xml:space="preserve">Second, </w:t>
                      </w:r>
                      <w:r w:rsidR="000C796A" w:rsidRPr="000C796A">
                        <w:rPr>
                          <w:rFonts w:ascii="Times New Roman" w:hAnsi="Times New Roman" w:cs="Times New Roman"/>
                          <w:i/>
                          <w:sz w:val="22"/>
                          <w:szCs w:val="22"/>
                          <w:u w:val="single"/>
                        </w:rPr>
                        <w:t>legal practitioners have specialised knowledge and training which equip them to conduct litigation. They are perceived by their clients as being experts on the decisions to be taken. This puts lawyers in a powerful position to influence the actual conduct of litigation.</w:t>
                      </w:r>
                      <w:r w:rsidR="000C796A" w:rsidRPr="000C796A">
                        <w:rPr>
                          <w:rFonts w:ascii="Times New Roman" w:hAnsi="Times New Roman" w:cs="Times New Roman"/>
                          <w:i/>
                          <w:sz w:val="22"/>
                          <w:szCs w:val="22"/>
                        </w:rPr>
                        <w:t xml:space="preserve"> Lay persons who enter into champerty and maintenance agreements do not possess any of these skills or characteristics. Third, </w:t>
                      </w:r>
                      <w:r w:rsidR="000C796A" w:rsidRPr="000C796A">
                        <w:rPr>
                          <w:rFonts w:ascii="Times New Roman" w:hAnsi="Times New Roman" w:cs="Times New Roman"/>
                          <w:i/>
                          <w:sz w:val="22"/>
                          <w:szCs w:val="22"/>
                          <w:u w:val="single"/>
                        </w:rPr>
                        <w:t xml:space="preserve">legal practitioners are bound by a range of ethical duties to their clients. </w:t>
                      </w:r>
                      <w:bookmarkStart w:id="3" w:name="0-0-0-128975"/>
                      <w:bookmarkEnd w:id="3"/>
                      <w:r w:rsidR="000C796A" w:rsidRPr="000C796A">
                        <w:rPr>
                          <w:rFonts w:ascii="Times New Roman" w:hAnsi="Times New Roman" w:cs="Times New Roman"/>
                          <w:i/>
                          <w:sz w:val="22"/>
                          <w:szCs w:val="22"/>
                          <w:u w:val="single"/>
                        </w:rPr>
                        <w:t>These duties may well come into conflict with their own pecuniary interest in the litigation when contingency fee agreements are concluded.</w:t>
                      </w:r>
                      <w:r w:rsidR="000C796A" w:rsidRPr="000C796A">
                        <w:rPr>
                          <w:rFonts w:ascii="Times New Roman" w:hAnsi="Times New Roman" w:cs="Times New Roman"/>
                          <w:i/>
                          <w:sz w:val="22"/>
                          <w:szCs w:val="22"/>
                        </w:rPr>
                        <w:t xml:space="preserve"> Lay persons who enter champerty and maintenance agreements have no such ethical or other duties. There is, therefore, no possibility of a conflict of interest in this regard. Lastly, </w:t>
                      </w:r>
                      <w:r w:rsidR="000C796A" w:rsidRPr="000C796A">
                        <w:rPr>
                          <w:rFonts w:ascii="Times New Roman" w:hAnsi="Times New Roman" w:cs="Times New Roman"/>
                          <w:i/>
                          <w:sz w:val="22"/>
                          <w:szCs w:val="22"/>
                          <w:u w:val="single"/>
                        </w:rPr>
                        <w:t>legal practitioners are bound by a range of ethical duties to the court.</w:t>
                      </w:r>
                      <w:bookmarkStart w:id="4" w:name="0-0-0-128979"/>
                      <w:bookmarkEnd w:id="4"/>
                      <w:r w:rsidR="00081BAE" w:rsidRPr="00720BAC">
                        <w:rPr>
                          <w:rFonts w:ascii="Times New Roman" w:hAnsi="Times New Roman" w:cs="Times New Roman"/>
                          <w:i/>
                          <w:sz w:val="22"/>
                          <w:szCs w:val="22"/>
                          <w:u w:val="single"/>
                        </w:rPr>
                        <w:t xml:space="preserve"> </w:t>
                      </w:r>
                      <w:r w:rsidR="000C796A" w:rsidRPr="000C796A">
                        <w:rPr>
                          <w:rFonts w:ascii="Times New Roman" w:hAnsi="Times New Roman" w:cs="Times New Roman"/>
                          <w:i/>
                          <w:sz w:val="22"/>
                          <w:szCs w:val="22"/>
                          <w:u w:val="single"/>
                        </w:rPr>
                        <w:t xml:space="preserve">Again, these duties may well come into conflict with their own pecuniary interest in the litigation when contingency fee agreements are concluded. </w:t>
                      </w:r>
                      <w:r w:rsidR="000C796A" w:rsidRPr="000C796A">
                        <w:rPr>
                          <w:rFonts w:ascii="Times New Roman" w:hAnsi="Times New Roman" w:cs="Times New Roman"/>
                          <w:i/>
                          <w:sz w:val="22"/>
                          <w:szCs w:val="22"/>
                        </w:rPr>
                        <w:t>Lay persons who enter into champerty and maintenance agreements owe no such ethical duties to the court or to litigants. There is, therefore, no possibility of a conflict of interest in this regard.</w:t>
                      </w:r>
                      <w:r w:rsidR="003D0D76">
                        <w:rPr>
                          <w:rFonts w:ascii="Times New Roman" w:hAnsi="Times New Roman" w:cs="Times New Roman"/>
                          <w:i/>
                          <w:sz w:val="22"/>
                          <w:szCs w:val="22"/>
                        </w:rPr>
                        <w:t>”</w:t>
                      </w:r>
                    </w:p>
                    <w:p w14:paraId="436FAA22" w14:textId="77777777" w:rsidR="007807BE" w:rsidRPr="00101B97" w:rsidRDefault="007807BE" w:rsidP="007807BE">
                      <w:pPr>
                        <w:spacing w:line="276" w:lineRule="auto"/>
                        <w:rPr>
                          <w:i/>
                          <w:sz w:val="22"/>
                          <w:szCs w:val="22"/>
                        </w:rPr>
                      </w:pPr>
                    </w:p>
                    <w:p w14:paraId="2DDEAB0D" w14:textId="77777777" w:rsidR="007807BE" w:rsidRPr="00101B97" w:rsidRDefault="007807BE" w:rsidP="007807BE">
                      <w:pPr>
                        <w:spacing w:line="276" w:lineRule="auto"/>
                        <w:rPr>
                          <w:i/>
                          <w:sz w:val="22"/>
                          <w:szCs w:val="22"/>
                        </w:rPr>
                      </w:pPr>
                    </w:p>
                  </w:txbxContent>
                </v:textbox>
                <w10:wrap type="square" anchorx="margin"/>
              </v:shape>
            </w:pict>
          </mc:Fallback>
        </mc:AlternateContent>
      </w:r>
      <w:r w:rsidR="001800FE" w:rsidRPr="00FE54D5">
        <w:rPr>
          <w:rFonts w:ascii="Arial" w:hAnsi="Arial" w:cs="Arial"/>
          <w:b/>
          <w:sz w:val="28"/>
          <w:szCs w:val="28"/>
          <w:u w:val="single"/>
        </w:rPr>
        <w:t xml:space="preserve">South African Association of Personal Injury Lawyers v Minister of Justice </w:t>
      </w:r>
      <w:r w:rsidR="00FD5418" w:rsidRPr="00FE54D5">
        <w:rPr>
          <w:rFonts w:ascii="Arial" w:hAnsi="Arial" w:cs="Arial"/>
          <w:b/>
          <w:sz w:val="28"/>
          <w:szCs w:val="28"/>
          <w:u w:val="single"/>
        </w:rPr>
        <w:t>and Constitutional Development</w:t>
      </w:r>
      <w:r w:rsidR="0081256A" w:rsidRPr="00FE54D5">
        <w:rPr>
          <w:rFonts w:ascii="Arial" w:hAnsi="Arial" w:cs="Arial"/>
          <w:sz w:val="28"/>
          <w:szCs w:val="28"/>
          <w:u w:val="single"/>
        </w:rPr>
        <w:t xml:space="preserve"> </w:t>
      </w:r>
      <w:r w:rsidR="001800FE" w:rsidRPr="00FE54D5">
        <w:rPr>
          <w:rFonts w:ascii="Arial" w:hAnsi="Arial" w:cs="Arial"/>
          <w:sz w:val="28"/>
          <w:szCs w:val="28"/>
          <w:u w:val="single"/>
        </w:rPr>
        <w:t>2013</w:t>
      </w:r>
      <w:r w:rsidR="0081256A" w:rsidRPr="00FE54D5">
        <w:rPr>
          <w:rFonts w:ascii="Arial" w:hAnsi="Arial" w:cs="Arial"/>
          <w:sz w:val="28"/>
          <w:szCs w:val="28"/>
          <w:u w:val="single"/>
        </w:rPr>
        <w:t xml:space="preserve"> (2)</w:t>
      </w:r>
      <w:r w:rsidR="00FE54D5" w:rsidRPr="00FE54D5">
        <w:rPr>
          <w:rFonts w:ascii="Arial" w:hAnsi="Arial" w:cs="Arial"/>
          <w:sz w:val="28"/>
          <w:szCs w:val="28"/>
          <w:u w:val="single"/>
        </w:rPr>
        <w:t xml:space="preserve"> SA 583 (GSJ)</w:t>
      </w:r>
      <w:r w:rsidR="001800FE" w:rsidRPr="00FE54D5">
        <w:rPr>
          <w:rFonts w:ascii="Arial" w:hAnsi="Arial" w:cs="Arial"/>
          <w:sz w:val="28"/>
          <w:szCs w:val="28"/>
          <w:u w:val="single"/>
        </w:rPr>
        <w:t xml:space="preserve"> </w:t>
      </w:r>
    </w:p>
    <w:p w14:paraId="0EFC21CC" w14:textId="1A8677C0" w:rsidR="00FE54D5" w:rsidRPr="00352553" w:rsidRDefault="00FE54D5" w:rsidP="002F231C">
      <w:pPr>
        <w:pStyle w:val="NoSpacing"/>
        <w:spacing w:line="276" w:lineRule="auto"/>
        <w:jc w:val="both"/>
        <w:rPr>
          <w:rFonts w:ascii="Arial" w:hAnsi="Arial" w:cs="Arial"/>
          <w:sz w:val="16"/>
          <w:szCs w:val="16"/>
        </w:rPr>
      </w:pPr>
    </w:p>
    <w:p w14:paraId="151DECAF" w14:textId="77777777" w:rsidR="00E07B87" w:rsidRDefault="00E8659D" w:rsidP="00E07B87">
      <w:pPr>
        <w:pStyle w:val="NoSpacing"/>
        <w:spacing w:after="120" w:line="276" w:lineRule="auto"/>
        <w:jc w:val="both"/>
        <w:rPr>
          <w:rFonts w:ascii="Arial" w:hAnsi="Arial" w:cs="Arial"/>
          <w:sz w:val="24"/>
          <w:szCs w:val="24"/>
        </w:rPr>
      </w:pPr>
      <w:r w:rsidRPr="00E8659D">
        <w:rPr>
          <w:rFonts w:ascii="Arial" w:hAnsi="Arial" w:cs="Arial"/>
          <w:b/>
          <w:sz w:val="24"/>
          <w:szCs w:val="24"/>
          <w:u w:val="single"/>
        </w:rPr>
        <w:t>FACTS:</w:t>
      </w:r>
      <w:r>
        <w:rPr>
          <w:rFonts w:ascii="Arial" w:hAnsi="Arial" w:cs="Arial"/>
          <w:sz w:val="24"/>
          <w:szCs w:val="24"/>
        </w:rPr>
        <w:t xml:space="preserve">  </w:t>
      </w:r>
      <w:r w:rsidR="001800FE" w:rsidRPr="00523246">
        <w:rPr>
          <w:rFonts w:ascii="Arial" w:hAnsi="Arial" w:cs="Arial"/>
          <w:sz w:val="24"/>
          <w:szCs w:val="24"/>
        </w:rPr>
        <w:t>The applicant</w:t>
      </w:r>
      <w:r w:rsidR="0048043A">
        <w:rPr>
          <w:rFonts w:ascii="Arial" w:hAnsi="Arial" w:cs="Arial"/>
          <w:sz w:val="24"/>
          <w:szCs w:val="24"/>
        </w:rPr>
        <w:t xml:space="preserve"> </w:t>
      </w:r>
      <w:r w:rsidR="001800FE" w:rsidRPr="00523246">
        <w:rPr>
          <w:rFonts w:ascii="Arial" w:hAnsi="Arial" w:cs="Arial"/>
          <w:sz w:val="24"/>
          <w:szCs w:val="24"/>
        </w:rPr>
        <w:t>(SAAPIL) claimed that the common law entitled them to claim greater fees under contingency fee</w:t>
      </w:r>
      <w:r w:rsidR="0048043A">
        <w:rPr>
          <w:rFonts w:ascii="Arial" w:hAnsi="Arial" w:cs="Arial"/>
          <w:sz w:val="24"/>
          <w:szCs w:val="24"/>
        </w:rPr>
        <w:t xml:space="preserve"> </w:t>
      </w:r>
      <w:r w:rsidR="001800FE" w:rsidRPr="00523246">
        <w:rPr>
          <w:rFonts w:ascii="Arial" w:hAnsi="Arial" w:cs="Arial"/>
          <w:sz w:val="24"/>
          <w:szCs w:val="24"/>
        </w:rPr>
        <w:t>agreements with their clients than what was allowed under the Contingency Fees Act, which limited</w:t>
      </w:r>
      <w:r w:rsidR="0048043A">
        <w:rPr>
          <w:rFonts w:ascii="Arial" w:hAnsi="Arial" w:cs="Arial"/>
          <w:sz w:val="24"/>
          <w:szCs w:val="24"/>
        </w:rPr>
        <w:t xml:space="preserve"> </w:t>
      </w:r>
      <w:r w:rsidR="001800FE" w:rsidRPr="00523246">
        <w:rPr>
          <w:rFonts w:ascii="Arial" w:hAnsi="Arial" w:cs="Arial"/>
          <w:sz w:val="24"/>
          <w:szCs w:val="24"/>
        </w:rPr>
        <w:t>contingency fees to double the legal</w:t>
      </w:r>
      <w:r w:rsidR="0048043A">
        <w:rPr>
          <w:rFonts w:ascii="Arial" w:hAnsi="Arial" w:cs="Arial"/>
          <w:sz w:val="24"/>
          <w:szCs w:val="24"/>
        </w:rPr>
        <w:t xml:space="preserve"> </w:t>
      </w:r>
      <w:r w:rsidR="001800FE" w:rsidRPr="00523246">
        <w:rPr>
          <w:rFonts w:ascii="Arial" w:hAnsi="Arial" w:cs="Arial"/>
          <w:sz w:val="24"/>
          <w:szCs w:val="24"/>
        </w:rPr>
        <w:t>practitioner's normal time-based fees or 25% of the settlement,</w:t>
      </w:r>
      <w:r w:rsidR="0048043A">
        <w:rPr>
          <w:rFonts w:ascii="Arial" w:hAnsi="Arial" w:cs="Arial"/>
          <w:sz w:val="24"/>
          <w:szCs w:val="24"/>
        </w:rPr>
        <w:t xml:space="preserve"> </w:t>
      </w:r>
      <w:r w:rsidR="001800FE" w:rsidRPr="00523246">
        <w:rPr>
          <w:rFonts w:ascii="Arial" w:hAnsi="Arial" w:cs="Arial"/>
          <w:sz w:val="24"/>
          <w:szCs w:val="24"/>
        </w:rPr>
        <w:t>whichever was lower.</w:t>
      </w:r>
    </w:p>
    <w:p w14:paraId="35E8A329" w14:textId="2C767F29" w:rsidR="008A15A1" w:rsidRDefault="001800FE" w:rsidP="008A15A1">
      <w:pPr>
        <w:pStyle w:val="NoSpacing"/>
        <w:spacing w:after="120" w:line="276" w:lineRule="auto"/>
        <w:jc w:val="both"/>
        <w:rPr>
          <w:rFonts w:ascii="Arial" w:hAnsi="Arial" w:cs="Arial"/>
          <w:sz w:val="24"/>
          <w:szCs w:val="24"/>
        </w:rPr>
      </w:pPr>
      <w:r w:rsidRPr="00523246">
        <w:rPr>
          <w:rFonts w:ascii="Arial" w:hAnsi="Arial" w:cs="Arial"/>
          <w:sz w:val="24"/>
          <w:szCs w:val="24"/>
        </w:rPr>
        <w:t>SAAPIL argued that the Act did not override the common law and that legal</w:t>
      </w:r>
      <w:r w:rsidR="00F34CE4">
        <w:rPr>
          <w:rFonts w:ascii="Arial" w:hAnsi="Arial" w:cs="Arial"/>
          <w:sz w:val="24"/>
          <w:szCs w:val="24"/>
        </w:rPr>
        <w:t xml:space="preserve"> </w:t>
      </w:r>
      <w:r w:rsidRPr="00523246">
        <w:rPr>
          <w:rFonts w:ascii="Arial" w:hAnsi="Arial" w:cs="Arial"/>
          <w:sz w:val="24"/>
          <w:szCs w:val="24"/>
        </w:rPr>
        <w:t>practitioners could therefore claim more than the Act allowed, provided they acted ethically. In the</w:t>
      </w:r>
      <w:r w:rsidR="0048043A">
        <w:rPr>
          <w:rFonts w:ascii="Arial" w:hAnsi="Arial" w:cs="Arial"/>
          <w:sz w:val="24"/>
          <w:szCs w:val="24"/>
        </w:rPr>
        <w:t xml:space="preserve"> </w:t>
      </w:r>
      <w:r w:rsidRPr="00523246">
        <w:rPr>
          <w:rFonts w:ascii="Arial" w:hAnsi="Arial" w:cs="Arial"/>
          <w:sz w:val="24"/>
          <w:szCs w:val="24"/>
        </w:rPr>
        <w:t>alternative they argued that the Act was unconstitutional or partially unconstitutional.</w:t>
      </w:r>
      <w:r w:rsidR="0048043A">
        <w:rPr>
          <w:rFonts w:ascii="Arial" w:hAnsi="Arial" w:cs="Arial"/>
          <w:sz w:val="24"/>
          <w:szCs w:val="24"/>
        </w:rPr>
        <w:t xml:space="preserve"> </w:t>
      </w:r>
      <w:r w:rsidRPr="00523246">
        <w:rPr>
          <w:rFonts w:ascii="Arial" w:hAnsi="Arial" w:cs="Arial"/>
          <w:sz w:val="24"/>
          <w:szCs w:val="24"/>
        </w:rPr>
        <w:t xml:space="preserve">It was held that the so-called </w:t>
      </w:r>
      <w:r w:rsidRPr="009D6358">
        <w:rPr>
          <w:rFonts w:ascii="Arial" w:hAnsi="Arial" w:cs="Arial"/>
          <w:b/>
          <w:sz w:val="24"/>
          <w:szCs w:val="24"/>
          <w:u w:val="single"/>
        </w:rPr>
        <w:t>'common-law' contingency fee agreements between legal practitioners and</w:t>
      </w:r>
      <w:r w:rsidR="0048043A" w:rsidRPr="009D6358">
        <w:rPr>
          <w:rFonts w:ascii="Arial" w:hAnsi="Arial" w:cs="Arial"/>
          <w:b/>
          <w:sz w:val="24"/>
          <w:szCs w:val="24"/>
          <w:u w:val="single"/>
        </w:rPr>
        <w:t xml:space="preserve"> </w:t>
      </w:r>
      <w:r w:rsidRPr="009D6358">
        <w:rPr>
          <w:rFonts w:ascii="Arial" w:hAnsi="Arial" w:cs="Arial"/>
          <w:b/>
          <w:sz w:val="24"/>
          <w:szCs w:val="24"/>
          <w:u w:val="single"/>
        </w:rPr>
        <w:t>their clients</w:t>
      </w:r>
      <w:r w:rsidRPr="00523246">
        <w:rPr>
          <w:rFonts w:ascii="Arial" w:hAnsi="Arial" w:cs="Arial"/>
          <w:sz w:val="24"/>
          <w:szCs w:val="24"/>
        </w:rPr>
        <w:t xml:space="preserve">, </w:t>
      </w:r>
      <w:r w:rsidR="006504B6" w:rsidRPr="00523246">
        <w:rPr>
          <w:rFonts w:ascii="Arial" w:hAnsi="Arial" w:cs="Arial"/>
          <w:sz w:val="24"/>
          <w:szCs w:val="24"/>
        </w:rPr>
        <w:t>i.e.</w:t>
      </w:r>
      <w:r w:rsidRPr="00523246">
        <w:rPr>
          <w:rFonts w:ascii="Arial" w:hAnsi="Arial" w:cs="Arial"/>
          <w:sz w:val="24"/>
          <w:szCs w:val="24"/>
        </w:rPr>
        <w:t xml:space="preserve"> agreements that allow legal practitioners to charge fees greater than those allowed by the</w:t>
      </w:r>
      <w:r w:rsidR="0048043A">
        <w:rPr>
          <w:rFonts w:ascii="Arial" w:hAnsi="Arial" w:cs="Arial"/>
          <w:sz w:val="24"/>
          <w:szCs w:val="24"/>
        </w:rPr>
        <w:t xml:space="preserve"> </w:t>
      </w:r>
      <w:r w:rsidRPr="00523246">
        <w:rPr>
          <w:rFonts w:ascii="Arial" w:hAnsi="Arial" w:cs="Arial"/>
          <w:sz w:val="24"/>
          <w:szCs w:val="24"/>
        </w:rPr>
        <w:t xml:space="preserve">Contingency Fees Act, </w:t>
      </w:r>
      <w:r w:rsidRPr="008A15A1">
        <w:rPr>
          <w:rFonts w:ascii="Arial" w:hAnsi="Arial" w:cs="Arial"/>
          <w:b/>
          <w:sz w:val="24"/>
          <w:szCs w:val="24"/>
          <w:u w:val="single"/>
        </w:rPr>
        <w:t>were doubly unlawful</w:t>
      </w:r>
      <w:r w:rsidRPr="003A1A2B">
        <w:rPr>
          <w:rFonts w:ascii="Arial" w:hAnsi="Arial" w:cs="Arial"/>
          <w:sz w:val="24"/>
          <w:szCs w:val="24"/>
          <w:u w:val="single"/>
        </w:rPr>
        <w:t>, since (1) the common law itself expressly prohibited</w:t>
      </w:r>
      <w:r w:rsidR="0048043A" w:rsidRPr="003A1A2B">
        <w:rPr>
          <w:rFonts w:ascii="Arial" w:hAnsi="Arial" w:cs="Arial"/>
          <w:sz w:val="24"/>
          <w:szCs w:val="24"/>
          <w:u w:val="single"/>
        </w:rPr>
        <w:t xml:space="preserve"> </w:t>
      </w:r>
      <w:r w:rsidRPr="003A1A2B">
        <w:rPr>
          <w:rFonts w:ascii="Arial" w:hAnsi="Arial" w:cs="Arial"/>
          <w:sz w:val="24"/>
          <w:szCs w:val="24"/>
          <w:u w:val="single"/>
        </w:rPr>
        <w:t>contingency fee agreements between lawyers and their clients; and (2) the Contingency Fees Act</w:t>
      </w:r>
      <w:r w:rsidR="00F34CE4" w:rsidRPr="003A1A2B">
        <w:rPr>
          <w:rFonts w:ascii="Arial" w:hAnsi="Arial" w:cs="Arial"/>
          <w:sz w:val="24"/>
          <w:szCs w:val="24"/>
          <w:u w:val="single"/>
        </w:rPr>
        <w:t xml:space="preserve"> </w:t>
      </w:r>
      <w:r w:rsidRPr="003A1A2B">
        <w:rPr>
          <w:rFonts w:ascii="Arial" w:hAnsi="Arial" w:cs="Arial"/>
          <w:sz w:val="24"/>
          <w:szCs w:val="24"/>
          <w:u w:val="single"/>
        </w:rPr>
        <w:t>left no room for contingency fee agreements that did not specifically comply with its requirements.</w:t>
      </w:r>
      <w:r w:rsidR="0048043A">
        <w:rPr>
          <w:rFonts w:ascii="Arial" w:hAnsi="Arial" w:cs="Arial"/>
          <w:sz w:val="24"/>
          <w:szCs w:val="24"/>
        </w:rPr>
        <w:t xml:space="preserve"> </w:t>
      </w:r>
      <w:r w:rsidRPr="00523246">
        <w:rPr>
          <w:rFonts w:ascii="Arial" w:hAnsi="Arial" w:cs="Arial"/>
          <w:sz w:val="24"/>
          <w:szCs w:val="24"/>
        </w:rPr>
        <w:t>There was also no room for the argument that the entire Act (or any part of it) was unconstitutional because</w:t>
      </w:r>
      <w:r w:rsidR="0048043A">
        <w:rPr>
          <w:rFonts w:ascii="Arial" w:hAnsi="Arial" w:cs="Arial"/>
          <w:sz w:val="24"/>
          <w:szCs w:val="24"/>
        </w:rPr>
        <w:t xml:space="preserve"> </w:t>
      </w:r>
      <w:r w:rsidRPr="00523246">
        <w:rPr>
          <w:rFonts w:ascii="Arial" w:hAnsi="Arial" w:cs="Arial"/>
          <w:sz w:val="24"/>
          <w:szCs w:val="24"/>
        </w:rPr>
        <w:t>it unfairly discriminated against legal practitioners or unjustifiably limited their rights by curbing the fees they</w:t>
      </w:r>
      <w:r w:rsidR="0048043A">
        <w:rPr>
          <w:rFonts w:ascii="Arial" w:hAnsi="Arial" w:cs="Arial"/>
          <w:sz w:val="24"/>
          <w:szCs w:val="24"/>
        </w:rPr>
        <w:t xml:space="preserve"> </w:t>
      </w:r>
      <w:r w:rsidRPr="00523246">
        <w:rPr>
          <w:rFonts w:ascii="Arial" w:hAnsi="Arial" w:cs="Arial"/>
          <w:sz w:val="24"/>
          <w:szCs w:val="24"/>
        </w:rPr>
        <w:t>were allowed to charge. The application was dismissed. This decision was confirmed on appeal to</w:t>
      </w:r>
      <w:r w:rsidR="0095211C">
        <w:rPr>
          <w:rFonts w:ascii="Arial" w:hAnsi="Arial" w:cs="Arial"/>
          <w:sz w:val="24"/>
          <w:szCs w:val="24"/>
        </w:rPr>
        <w:t xml:space="preserve"> </w:t>
      </w:r>
      <w:r w:rsidRPr="00523246">
        <w:rPr>
          <w:rFonts w:ascii="Arial" w:hAnsi="Arial" w:cs="Arial"/>
          <w:sz w:val="24"/>
          <w:szCs w:val="24"/>
        </w:rPr>
        <w:t>the CC in Bobroff &amp; Partners v De La Guerre.</w:t>
      </w:r>
    </w:p>
    <w:p w14:paraId="093AB8DE" w14:textId="79791A08" w:rsidR="00154028" w:rsidRPr="008A15A1" w:rsidRDefault="00EB58B0" w:rsidP="008A15A1">
      <w:pPr>
        <w:pStyle w:val="NoSpacing"/>
        <w:spacing w:after="120" w:line="276" w:lineRule="auto"/>
        <w:jc w:val="both"/>
        <w:rPr>
          <w:rFonts w:ascii="Arial" w:hAnsi="Arial" w:cs="Arial"/>
          <w:sz w:val="24"/>
          <w:szCs w:val="24"/>
        </w:rPr>
      </w:pPr>
      <w:r w:rsidRPr="0085573D">
        <w:rPr>
          <w:rFonts w:ascii="Arial" w:eastAsiaTheme="minorHAnsi" w:hAnsi="Arial" w:cs="Arial"/>
          <w:b/>
          <w:noProof/>
          <w:sz w:val="24"/>
          <w:szCs w:val="24"/>
        </w:rPr>
        <w:lastRenderedPageBreak/>
        <mc:AlternateContent>
          <mc:Choice Requires="wps">
            <w:drawing>
              <wp:anchor distT="45720" distB="45720" distL="114300" distR="114300" simplePos="0" relativeHeight="251661312" behindDoc="0" locked="0" layoutInCell="1" allowOverlap="1" wp14:anchorId="241303B6" wp14:editId="0F31F7D0">
                <wp:simplePos x="0" y="0"/>
                <wp:positionH relativeFrom="margin">
                  <wp:posOffset>2781300</wp:posOffset>
                </wp:positionH>
                <wp:positionV relativeFrom="paragraph">
                  <wp:posOffset>0</wp:posOffset>
                </wp:positionV>
                <wp:extent cx="3314700" cy="542925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5429250"/>
                        </a:xfrm>
                        <a:prstGeom prst="rect">
                          <a:avLst/>
                        </a:prstGeom>
                        <a:solidFill>
                          <a:srgbClr val="FFFFFF"/>
                        </a:solidFill>
                        <a:ln w="9525">
                          <a:solidFill>
                            <a:srgbClr val="000000"/>
                          </a:solidFill>
                          <a:miter lim="800000"/>
                          <a:headEnd/>
                          <a:tailEnd/>
                        </a:ln>
                      </wps:spPr>
                      <wps:txbx>
                        <w:txbxContent>
                          <w:p w14:paraId="4A62B060" w14:textId="77777777" w:rsidR="006C1D0B" w:rsidRPr="009042A0" w:rsidRDefault="006C1D0B" w:rsidP="006C1D0B">
                            <w:pPr>
                              <w:spacing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7CA6110B" w14:textId="01573C24" w:rsidR="0009151E" w:rsidRPr="0009151E" w:rsidRDefault="006C1D0B" w:rsidP="0009151E">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60A-E</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09151E" w:rsidRPr="0009151E">
                              <w:rPr>
                                <w:rFonts w:ascii="Times New Roman" w:hAnsi="Times New Roman" w:cs="Times New Roman"/>
                                <w:i/>
                                <w:sz w:val="22"/>
                                <w:szCs w:val="22"/>
                              </w:rPr>
                              <w:t xml:space="preserve">In its heads of argument the GCB submitted that an advocate transgresses the rule if he or she holds briefs even to settle two or more cases on the trial roll on a day but I do not think that is necessarily correct. </w:t>
                            </w:r>
                            <w:r w:rsidR="0009151E" w:rsidRPr="004B7F77">
                              <w:rPr>
                                <w:rFonts w:ascii="Times New Roman" w:hAnsi="Times New Roman" w:cs="Times New Roman"/>
                                <w:i/>
                                <w:sz w:val="22"/>
                                <w:szCs w:val="22"/>
                                <w:u w:val="single"/>
                              </w:rPr>
                              <w:t>The rule prohibits accepting a brief if the advocate 'should reasonably foresee' that it would have to be surrendered and whether that is so will depend on the particular case.</w:t>
                            </w:r>
                            <w:r w:rsidR="0009151E" w:rsidRPr="0009151E">
                              <w:rPr>
                                <w:rFonts w:ascii="Times New Roman" w:hAnsi="Times New Roman" w:cs="Times New Roman"/>
                                <w:i/>
                                <w:sz w:val="22"/>
                                <w:szCs w:val="22"/>
                              </w:rPr>
                              <w:t xml:space="preserve"> No doubt there are cases in which settlement negotiations can be expected to be intense and protracted, calling for the advocate's full attention and time, but that will not always be so, particularly in road-accident cases. Indeed, </w:t>
                            </w:r>
                            <w:r w:rsidR="0009151E" w:rsidRPr="00F9431D">
                              <w:rPr>
                                <w:rFonts w:ascii="Times New Roman" w:hAnsi="Times New Roman" w:cs="Times New Roman"/>
                                <w:i/>
                                <w:sz w:val="22"/>
                                <w:szCs w:val="22"/>
                                <w:u w:val="single"/>
                              </w:rPr>
                              <w:t>rule 2.8 recognises that multiple briefs in such cases are not prohibited when it provides that '[it] is not improper for counsel to accept a brief to settle a matter, as opposed to a brief on trial'</w:t>
                            </w:r>
                            <w:r w:rsidR="0009151E" w:rsidRPr="0009151E">
                              <w:rPr>
                                <w:rFonts w:ascii="Times New Roman" w:hAnsi="Times New Roman" w:cs="Times New Roman"/>
                                <w:i/>
                                <w:sz w:val="22"/>
                                <w:szCs w:val="22"/>
                              </w:rPr>
                              <w:t>.</w:t>
                            </w:r>
                          </w:p>
                          <w:p w14:paraId="47153BB3" w14:textId="4E07D9B0" w:rsidR="006C1D0B" w:rsidRPr="000C796A" w:rsidRDefault="0009151E" w:rsidP="006C1D0B">
                            <w:pPr>
                              <w:spacing w:line="276" w:lineRule="auto"/>
                              <w:jc w:val="both"/>
                              <w:rPr>
                                <w:rFonts w:ascii="Times New Roman" w:hAnsi="Times New Roman" w:cs="Times New Roman"/>
                                <w:i/>
                                <w:sz w:val="22"/>
                                <w:szCs w:val="22"/>
                                <w:u w:val="single"/>
                              </w:rPr>
                            </w:pPr>
                            <w:r w:rsidRPr="0009151E">
                              <w:rPr>
                                <w:rFonts w:ascii="Times New Roman" w:hAnsi="Times New Roman" w:cs="Times New Roman"/>
                                <w:b/>
                                <w:i/>
                                <w:sz w:val="22"/>
                                <w:szCs w:val="22"/>
                              </w:rPr>
                              <w:t>[16]</w:t>
                            </w:r>
                            <w:r w:rsidRPr="0009151E">
                              <w:rPr>
                                <w:rFonts w:ascii="Times New Roman" w:hAnsi="Times New Roman" w:cs="Times New Roman"/>
                                <w:i/>
                                <w:sz w:val="22"/>
                                <w:szCs w:val="22"/>
                              </w:rPr>
                              <w:t xml:space="preserve"> An advocate who accepts a brief to conduct a trial must hold himself or herself available to do so. </w:t>
                            </w:r>
                            <w:r w:rsidRPr="00A91D4B">
                              <w:rPr>
                                <w:rFonts w:ascii="Times New Roman" w:hAnsi="Times New Roman" w:cs="Times New Roman"/>
                                <w:i/>
                                <w:sz w:val="22"/>
                                <w:szCs w:val="22"/>
                                <w:u w:val="single"/>
                              </w:rPr>
                              <w:t>Because the advocate has held himself or herself available he or she is generally entitled to a full day's fee if the case settles on the day or even shortly before that and the advocate has been left with no other income for the day.</w:t>
                            </w:r>
                            <w:r w:rsidRPr="0009151E">
                              <w:rPr>
                                <w:rFonts w:ascii="Times New Roman" w:hAnsi="Times New Roman" w:cs="Times New Roman"/>
                                <w:i/>
                                <w:sz w:val="22"/>
                                <w:szCs w:val="22"/>
                              </w:rPr>
                              <w:t xml:space="preserve"> But if his or her instructions are to postpone a case when the roll is called, or to note that the case has been settled, or to negotiate a settlement of the claim, then the fee must be commensurate with that service. </w:t>
                            </w:r>
                            <w:bookmarkStart w:id="5" w:name="_Hlk532758161"/>
                            <w:r w:rsidRPr="0009151E">
                              <w:rPr>
                                <w:rFonts w:ascii="Times New Roman" w:hAnsi="Times New Roman" w:cs="Times New Roman"/>
                                <w:i/>
                                <w:sz w:val="22"/>
                                <w:szCs w:val="22"/>
                                <w:u w:val="single"/>
                              </w:rPr>
                              <w:t>To charge a trial fee where the instructions are not to conduct a trial but instead to do something else is overreaching.</w:t>
                            </w:r>
                            <w:r w:rsidR="003D0D76">
                              <w:rPr>
                                <w:rFonts w:ascii="Times New Roman" w:hAnsi="Times New Roman" w:cs="Times New Roman"/>
                                <w:i/>
                                <w:sz w:val="22"/>
                                <w:szCs w:val="22"/>
                                <w:u w:val="single"/>
                              </w:rPr>
                              <w:t>”</w:t>
                            </w:r>
                          </w:p>
                          <w:bookmarkEnd w:id="5"/>
                          <w:p w14:paraId="14A0204A" w14:textId="77777777" w:rsidR="006C1D0B" w:rsidRPr="00101B97" w:rsidRDefault="006C1D0B" w:rsidP="006C1D0B">
                            <w:pPr>
                              <w:spacing w:line="276" w:lineRule="auto"/>
                              <w:rPr>
                                <w:i/>
                                <w:sz w:val="22"/>
                                <w:szCs w:val="22"/>
                              </w:rPr>
                            </w:pPr>
                          </w:p>
                          <w:p w14:paraId="5E037DB0" w14:textId="77777777" w:rsidR="006C1D0B" w:rsidRPr="00101B97" w:rsidRDefault="006C1D0B" w:rsidP="006C1D0B">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1303B6" id="_x0000_s1027" type="#_x0000_t202" style="position:absolute;left:0;text-align:left;margin-left:219pt;margin-top:0;width:261pt;height:42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1nhKAIAAEwEAAAOAAAAZHJzL2Uyb0RvYy54bWysVNtu2zAMfR+wfxD0vthxk7Ux4hRdugwD&#10;ugvQ7gMUWY6FSaImKbGzry8lu5mx7WmYHwRRpI7Ic0ivb3utyEk4L8FUdD7LKRGGQy3NoaLfnnZv&#10;bijxgZmaKTCiomfh6e3m9at1Z0tRQAuqFo4giPFlZyvahmDLLPO8FZr5GVhh0NmA0yyg6Q5Z7ViH&#10;6FplRZ6/zTpwtXXAhfd4ej846SbhN43g4UvTeBGIqijmFtLq0rqPa7ZZs/LgmG0lH9Ng/5CFZtLg&#10;oxeoexYYOTr5B5SW3IGHJsw46AyaRnKRasBq5vlv1Ty2zIpUC5Lj7YUm//9g+efTV0dkjdpRYphG&#10;iZ5EH8g76EkR2emsLzHo0WJY6PE4RsZKvX0A/t0TA9uWmYO4cw66VrAas5vHm9nk6oDjI8i++wQ1&#10;PsOOARJQ3zgdAZEMguio0vmiTEyF4+HV1XxxnaOLo2+5KFbFMmmXsfLlunU+fBCgSdxU1KH0CZ6d&#10;HnyI6bDyJSSlD0rWO6lUMtxhv1WOnBi2yS59qQKschqmDOkquloWy4GBqc9PIfL0/Q1Cy4D9rqSu&#10;6M0liJWRt/emTt0YmFTDHlNWZiQycjewGPp9Pyo26rOH+ozMOhjaG8cRNy24n5R02NoV9T+OzAlK&#10;1EeD6qzmi0WchWQsltcFGm7q2U89zHCEqmigZNhuQ5qfyJuBO1SxkYnfKPeQyZgytmyifRyvOBNT&#10;O0X9+glsngEAAP//AwBQSwMEFAAGAAgAAAAhAO3p17jfAAAACAEAAA8AAABkcnMvZG93bnJldi54&#10;bWxMj0FPwzAMhe9I/IfISFwQS2Bb6UrTCSGB2A0GgmvWeG1F4pQm68q/x5zgYtl6T8/fK9eTd2LE&#10;IXaBNFzNFAikOtiOGg1vrw+XOYiYDFnjAqGGb4ywrk5PSlPYcKQXHLepERxCsTAa2pT6QspYt+hN&#10;nIUeibV9GLxJfA6NtIM5crh38lqpTHrTEX9oTY/3Ldaf24PXkC+exo+4mT+/19nerdLFzfj4NWh9&#10;fjbd3YJIOKU/M/ziMzpUzLQLB7JROA2Lec5dkgaeLK8yxcuOs5dLBbIq5f8C1Q8AAAD//wMAUEsB&#10;Ai0AFAAGAAgAAAAhALaDOJL+AAAA4QEAABMAAAAAAAAAAAAAAAAAAAAAAFtDb250ZW50X1R5cGVz&#10;XS54bWxQSwECLQAUAAYACAAAACEAOP0h/9YAAACUAQAACwAAAAAAAAAAAAAAAAAvAQAAX3JlbHMv&#10;LnJlbHNQSwECLQAUAAYACAAAACEAkQdZ4SgCAABMBAAADgAAAAAAAAAAAAAAAAAuAgAAZHJzL2Uy&#10;b0RvYy54bWxQSwECLQAUAAYACAAAACEA7enXuN8AAAAIAQAADwAAAAAAAAAAAAAAAACCBAAAZHJz&#10;L2Rvd25yZXYueG1sUEsFBgAAAAAEAAQA8wAAAI4FAAAAAA==&#10;">
                <v:textbox>
                  <w:txbxContent>
                    <w:p w14:paraId="4A62B060" w14:textId="77777777" w:rsidR="006C1D0B" w:rsidRPr="009042A0" w:rsidRDefault="006C1D0B" w:rsidP="006C1D0B">
                      <w:pPr>
                        <w:spacing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7CA6110B" w14:textId="01573C24" w:rsidR="0009151E" w:rsidRPr="0009151E" w:rsidRDefault="006C1D0B" w:rsidP="0009151E">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60A-E</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09151E" w:rsidRPr="0009151E">
                        <w:rPr>
                          <w:rFonts w:ascii="Times New Roman" w:hAnsi="Times New Roman" w:cs="Times New Roman"/>
                          <w:i/>
                          <w:sz w:val="22"/>
                          <w:szCs w:val="22"/>
                        </w:rPr>
                        <w:t xml:space="preserve">In its heads of argument the GCB submitted that an advocate transgresses the rule if he or she holds briefs even to settle two or more cases on the trial roll on a day but I do not think that is necessarily correct. </w:t>
                      </w:r>
                      <w:r w:rsidR="0009151E" w:rsidRPr="004B7F77">
                        <w:rPr>
                          <w:rFonts w:ascii="Times New Roman" w:hAnsi="Times New Roman" w:cs="Times New Roman"/>
                          <w:i/>
                          <w:sz w:val="22"/>
                          <w:szCs w:val="22"/>
                          <w:u w:val="single"/>
                        </w:rPr>
                        <w:t>The rule prohibits accepting a brief if the advocate 'should reasonably foresee' that it would have to be surrendered and whether that is so will depend on the particular case.</w:t>
                      </w:r>
                      <w:r w:rsidR="0009151E" w:rsidRPr="0009151E">
                        <w:rPr>
                          <w:rFonts w:ascii="Times New Roman" w:hAnsi="Times New Roman" w:cs="Times New Roman"/>
                          <w:i/>
                          <w:sz w:val="22"/>
                          <w:szCs w:val="22"/>
                        </w:rPr>
                        <w:t xml:space="preserve"> No doubt there are cases in which settlement negotiations can be expected to be intense and protracted, calling for the advocate's full attention and time, but that will not always be so, particularly in road-accident cases. Indeed, </w:t>
                      </w:r>
                      <w:r w:rsidR="0009151E" w:rsidRPr="00F9431D">
                        <w:rPr>
                          <w:rFonts w:ascii="Times New Roman" w:hAnsi="Times New Roman" w:cs="Times New Roman"/>
                          <w:i/>
                          <w:sz w:val="22"/>
                          <w:szCs w:val="22"/>
                          <w:u w:val="single"/>
                        </w:rPr>
                        <w:t>rule 2.8 recognises that multiple briefs in such cases are not prohibited when it provides that '[it] is not improper for counsel to accept a brief to settle a matter, as opposed to a brief on trial'</w:t>
                      </w:r>
                      <w:r w:rsidR="0009151E" w:rsidRPr="0009151E">
                        <w:rPr>
                          <w:rFonts w:ascii="Times New Roman" w:hAnsi="Times New Roman" w:cs="Times New Roman"/>
                          <w:i/>
                          <w:sz w:val="22"/>
                          <w:szCs w:val="22"/>
                        </w:rPr>
                        <w:t>.</w:t>
                      </w:r>
                    </w:p>
                    <w:p w14:paraId="47153BB3" w14:textId="4E07D9B0" w:rsidR="006C1D0B" w:rsidRPr="000C796A" w:rsidRDefault="0009151E" w:rsidP="006C1D0B">
                      <w:pPr>
                        <w:spacing w:line="276" w:lineRule="auto"/>
                        <w:jc w:val="both"/>
                        <w:rPr>
                          <w:rFonts w:ascii="Times New Roman" w:hAnsi="Times New Roman" w:cs="Times New Roman"/>
                          <w:i/>
                          <w:sz w:val="22"/>
                          <w:szCs w:val="22"/>
                          <w:u w:val="single"/>
                        </w:rPr>
                      </w:pPr>
                      <w:r w:rsidRPr="0009151E">
                        <w:rPr>
                          <w:rFonts w:ascii="Times New Roman" w:hAnsi="Times New Roman" w:cs="Times New Roman"/>
                          <w:b/>
                          <w:i/>
                          <w:sz w:val="22"/>
                          <w:szCs w:val="22"/>
                        </w:rPr>
                        <w:t>[16]</w:t>
                      </w:r>
                      <w:r w:rsidRPr="0009151E">
                        <w:rPr>
                          <w:rFonts w:ascii="Times New Roman" w:hAnsi="Times New Roman" w:cs="Times New Roman"/>
                          <w:i/>
                          <w:sz w:val="22"/>
                          <w:szCs w:val="22"/>
                        </w:rPr>
                        <w:t xml:space="preserve"> An advocate who accepts a brief to conduct a trial must hold himself or herself available to do so. </w:t>
                      </w:r>
                      <w:r w:rsidRPr="00A91D4B">
                        <w:rPr>
                          <w:rFonts w:ascii="Times New Roman" w:hAnsi="Times New Roman" w:cs="Times New Roman"/>
                          <w:i/>
                          <w:sz w:val="22"/>
                          <w:szCs w:val="22"/>
                          <w:u w:val="single"/>
                        </w:rPr>
                        <w:t>Because the advocate has held himself or herself available he or she is generally entitled to a full day's fee if the case settles on the day or even shortly before that and the advocate has been left with no other income for the day.</w:t>
                      </w:r>
                      <w:r w:rsidRPr="0009151E">
                        <w:rPr>
                          <w:rFonts w:ascii="Times New Roman" w:hAnsi="Times New Roman" w:cs="Times New Roman"/>
                          <w:i/>
                          <w:sz w:val="22"/>
                          <w:szCs w:val="22"/>
                        </w:rPr>
                        <w:t xml:space="preserve"> But if his or her instructions are to postpone a case when the roll is called, or to note that the case has been settled, or to negotiate a settlement of the claim, then the fee must be commensurate with that service. </w:t>
                      </w:r>
                      <w:bookmarkStart w:id="6" w:name="_Hlk532758161"/>
                      <w:r w:rsidRPr="0009151E">
                        <w:rPr>
                          <w:rFonts w:ascii="Times New Roman" w:hAnsi="Times New Roman" w:cs="Times New Roman"/>
                          <w:i/>
                          <w:sz w:val="22"/>
                          <w:szCs w:val="22"/>
                          <w:u w:val="single"/>
                        </w:rPr>
                        <w:t>To charge a trial fee where the instructions are not to conduct a trial but instead to do something else is overreaching.</w:t>
                      </w:r>
                      <w:r w:rsidR="003D0D76">
                        <w:rPr>
                          <w:rFonts w:ascii="Times New Roman" w:hAnsi="Times New Roman" w:cs="Times New Roman"/>
                          <w:i/>
                          <w:sz w:val="22"/>
                          <w:szCs w:val="22"/>
                          <w:u w:val="single"/>
                        </w:rPr>
                        <w:t>”</w:t>
                      </w:r>
                    </w:p>
                    <w:bookmarkEnd w:id="6"/>
                    <w:p w14:paraId="14A0204A" w14:textId="77777777" w:rsidR="006C1D0B" w:rsidRPr="00101B97" w:rsidRDefault="006C1D0B" w:rsidP="006C1D0B">
                      <w:pPr>
                        <w:spacing w:line="276" w:lineRule="auto"/>
                        <w:rPr>
                          <w:i/>
                          <w:sz w:val="22"/>
                          <w:szCs w:val="22"/>
                        </w:rPr>
                      </w:pPr>
                    </w:p>
                    <w:p w14:paraId="5E037DB0" w14:textId="77777777" w:rsidR="006C1D0B" w:rsidRPr="00101B97" w:rsidRDefault="006C1D0B" w:rsidP="006C1D0B">
                      <w:pPr>
                        <w:spacing w:line="276" w:lineRule="auto"/>
                        <w:rPr>
                          <w:i/>
                          <w:sz w:val="22"/>
                          <w:szCs w:val="22"/>
                        </w:rPr>
                      </w:pPr>
                    </w:p>
                  </w:txbxContent>
                </v:textbox>
                <w10:wrap type="square" anchorx="margin"/>
              </v:shape>
            </w:pict>
          </mc:Fallback>
        </mc:AlternateContent>
      </w:r>
      <w:r w:rsidR="001800FE" w:rsidRPr="0085573D">
        <w:rPr>
          <w:rFonts w:ascii="Arial" w:hAnsi="Arial" w:cs="Arial"/>
          <w:b/>
          <w:sz w:val="28"/>
          <w:szCs w:val="24"/>
          <w:u w:val="single"/>
        </w:rPr>
        <w:t xml:space="preserve">General Council of the Bar </w:t>
      </w:r>
      <w:r w:rsidR="00474250" w:rsidRPr="0085573D">
        <w:rPr>
          <w:rFonts w:ascii="Arial" w:hAnsi="Arial" w:cs="Arial"/>
          <w:b/>
          <w:sz w:val="28"/>
          <w:szCs w:val="24"/>
          <w:u w:val="single"/>
        </w:rPr>
        <w:t>of S</w:t>
      </w:r>
      <w:r w:rsidR="00636FE6" w:rsidRPr="0085573D">
        <w:rPr>
          <w:rFonts w:ascii="Arial" w:hAnsi="Arial" w:cs="Arial"/>
          <w:b/>
          <w:sz w:val="28"/>
          <w:szCs w:val="24"/>
          <w:u w:val="single"/>
        </w:rPr>
        <w:t>A</w:t>
      </w:r>
      <w:r w:rsidR="00474250" w:rsidRPr="0085573D">
        <w:rPr>
          <w:rFonts w:ascii="Arial" w:hAnsi="Arial" w:cs="Arial"/>
          <w:b/>
          <w:sz w:val="28"/>
          <w:szCs w:val="24"/>
          <w:u w:val="single"/>
        </w:rPr>
        <w:t xml:space="preserve"> </w:t>
      </w:r>
      <w:r w:rsidR="001800FE" w:rsidRPr="0085573D">
        <w:rPr>
          <w:rFonts w:ascii="Arial" w:hAnsi="Arial" w:cs="Arial"/>
          <w:b/>
          <w:sz w:val="28"/>
          <w:szCs w:val="24"/>
          <w:u w:val="single"/>
        </w:rPr>
        <w:t xml:space="preserve">v Geach </w:t>
      </w:r>
      <w:r w:rsidR="0085573D" w:rsidRPr="0085573D">
        <w:rPr>
          <w:rFonts w:ascii="Arial" w:hAnsi="Arial" w:cs="Arial"/>
          <w:b/>
          <w:sz w:val="28"/>
          <w:szCs w:val="24"/>
          <w:u w:val="single"/>
        </w:rPr>
        <w:t>and Others</w:t>
      </w:r>
      <w:r w:rsidR="0085573D" w:rsidRPr="0085573D">
        <w:rPr>
          <w:rFonts w:ascii="Arial" w:hAnsi="Arial" w:cs="Arial"/>
          <w:sz w:val="28"/>
          <w:szCs w:val="24"/>
          <w:u w:val="single"/>
        </w:rPr>
        <w:t xml:space="preserve"> </w:t>
      </w:r>
      <w:r w:rsidR="001800FE" w:rsidRPr="0085573D">
        <w:rPr>
          <w:rFonts w:ascii="Arial" w:hAnsi="Arial" w:cs="Arial"/>
          <w:sz w:val="28"/>
          <w:szCs w:val="24"/>
          <w:u w:val="single"/>
        </w:rPr>
        <w:t>2013</w:t>
      </w:r>
      <w:r w:rsidR="00582A45" w:rsidRPr="00582A45">
        <w:rPr>
          <w:rFonts w:ascii="Arial" w:hAnsi="Arial" w:cs="Arial"/>
          <w:sz w:val="28"/>
          <w:szCs w:val="24"/>
          <w:u w:val="single"/>
        </w:rPr>
        <w:t xml:space="preserve"> (2) SA 52 (SCA)</w:t>
      </w:r>
    </w:p>
    <w:p w14:paraId="280CAAEC" w14:textId="77777777" w:rsidR="00636FE6" w:rsidRPr="00636FE6" w:rsidRDefault="00636FE6" w:rsidP="002F231C">
      <w:pPr>
        <w:spacing w:line="276" w:lineRule="auto"/>
        <w:jc w:val="both"/>
        <w:rPr>
          <w:rFonts w:ascii="Arial" w:hAnsi="Arial" w:cs="Arial"/>
          <w:b/>
          <w:sz w:val="24"/>
          <w:szCs w:val="24"/>
          <w:u w:val="single"/>
        </w:rPr>
      </w:pPr>
      <w:r w:rsidRPr="00636FE6">
        <w:rPr>
          <w:rFonts w:ascii="Arial" w:hAnsi="Arial" w:cs="Arial"/>
          <w:b/>
          <w:sz w:val="24"/>
          <w:szCs w:val="24"/>
          <w:u w:val="single"/>
        </w:rPr>
        <w:t>FACTS:</w:t>
      </w:r>
    </w:p>
    <w:p w14:paraId="3395C29A" w14:textId="4D60FEDF" w:rsidR="00154028" w:rsidRPr="00154028" w:rsidRDefault="00154028" w:rsidP="002F231C">
      <w:pPr>
        <w:spacing w:line="276" w:lineRule="auto"/>
        <w:jc w:val="both"/>
        <w:rPr>
          <w:rFonts w:ascii="Arial" w:hAnsi="Arial" w:cs="Arial"/>
          <w:sz w:val="24"/>
          <w:szCs w:val="24"/>
        </w:rPr>
      </w:pPr>
      <w:r w:rsidRPr="00154028">
        <w:rPr>
          <w:rFonts w:ascii="Arial" w:hAnsi="Arial" w:cs="Arial"/>
          <w:sz w:val="24"/>
          <w:szCs w:val="24"/>
        </w:rPr>
        <w:t>In issue in this case was whether a high court correctly exercised its powers under s 7 of the Admission of Advocates Act 74 of 1964 (the Act) to suspend certain advocates from practice and to strike others from the roll, and also whether it had been competent for the court to order the advocates to repay moneys to the Road Accident Fund.</w:t>
      </w:r>
    </w:p>
    <w:p w14:paraId="1B2F9BF4" w14:textId="7762AB9A" w:rsidR="00154028" w:rsidRDefault="00154028" w:rsidP="002F231C">
      <w:pPr>
        <w:spacing w:line="276" w:lineRule="auto"/>
        <w:jc w:val="both"/>
        <w:rPr>
          <w:rFonts w:ascii="Arial" w:hAnsi="Arial" w:cs="Arial"/>
          <w:sz w:val="24"/>
          <w:szCs w:val="24"/>
        </w:rPr>
      </w:pPr>
      <w:r w:rsidRPr="00154028">
        <w:rPr>
          <w:rFonts w:ascii="Arial" w:hAnsi="Arial" w:cs="Arial"/>
          <w:sz w:val="24"/>
          <w:szCs w:val="24"/>
        </w:rPr>
        <w:t xml:space="preserve">The facts were that the </w:t>
      </w:r>
      <w:r w:rsidRPr="00154028">
        <w:rPr>
          <w:rFonts w:ascii="Arial" w:hAnsi="Arial" w:cs="Arial"/>
          <w:sz w:val="24"/>
          <w:szCs w:val="24"/>
          <w:u w:val="single"/>
        </w:rPr>
        <w:t xml:space="preserve">advocates had accepted multiple briefs to conduct trials on the same day </w:t>
      </w:r>
      <w:r w:rsidRPr="00154028">
        <w:rPr>
          <w:rFonts w:ascii="Arial" w:hAnsi="Arial" w:cs="Arial"/>
          <w:sz w:val="24"/>
          <w:szCs w:val="24"/>
        </w:rPr>
        <w:t>against the R</w:t>
      </w:r>
      <w:r w:rsidR="002D3AC6">
        <w:rPr>
          <w:rFonts w:ascii="Arial" w:hAnsi="Arial" w:cs="Arial"/>
          <w:sz w:val="24"/>
          <w:szCs w:val="24"/>
        </w:rPr>
        <w:t>AF</w:t>
      </w:r>
      <w:r w:rsidRPr="00154028">
        <w:rPr>
          <w:rFonts w:ascii="Arial" w:hAnsi="Arial" w:cs="Arial"/>
          <w:sz w:val="24"/>
          <w:szCs w:val="24"/>
        </w:rPr>
        <w:t xml:space="preserve"> and in each case had charged a full trial fee. The relevant society of advocates had disciplined them and applied to a high court for it to note the sanctions imposed. Ultimately the high court suspended a first group of the advocates and ordered that they repay moneys to the Fund; and struck a second group from the roll and ordered them also to repay moneys. The GCB appealed the high court's findings in respect of the first</w:t>
      </w:r>
      <w:r w:rsidR="00EB58B0">
        <w:rPr>
          <w:rFonts w:ascii="Arial" w:hAnsi="Arial" w:cs="Arial"/>
          <w:sz w:val="24"/>
          <w:szCs w:val="24"/>
        </w:rPr>
        <w:t xml:space="preserve"> </w:t>
      </w:r>
      <w:r w:rsidRPr="00154028">
        <w:rPr>
          <w:rFonts w:ascii="Arial" w:hAnsi="Arial" w:cs="Arial"/>
          <w:sz w:val="24"/>
          <w:szCs w:val="24"/>
        </w:rPr>
        <w:t xml:space="preserve">group, contending that they ought to have been struck from the roll; and the advocates in the second group appealed the high court's orders striking them off, as well as the orders of repayment. </w:t>
      </w:r>
    </w:p>
    <w:p w14:paraId="1AF2864C" w14:textId="53B141BF" w:rsidR="00FD133E" w:rsidRDefault="00FD133E" w:rsidP="002F231C">
      <w:pPr>
        <w:spacing w:line="276" w:lineRule="auto"/>
        <w:jc w:val="both"/>
        <w:rPr>
          <w:rFonts w:ascii="Arial" w:hAnsi="Arial" w:cs="Arial"/>
          <w:sz w:val="24"/>
          <w:szCs w:val="24"/>
        </w:rPr>
      </w:pPr>
      <w:r>
        <w:rPr>
          <w:rFonts w:ascii="Arial" w:hAnsi="Arial" w:cs="Arial"/>
          <w:sz w:val="24"/>
          <w:szCs w:val="24"/>
        </w:rPr>
        <w:t>T</w:t>
      </w:r>
      <w:r w:rsidRPr="00FD133E">
        <w:rPr>
          <w:rFonts w:ascii="Arial" w:hAnsi="Arial" w:cs="Arial"/>
          <w:sz w:val="24"/>
          <w:szCs w:val="24"/>
        </w:rPr>
        <w:t xml:space="preserve">he appeals </w:t>
      </w:r>
      <w:r>
        <w:rPr>
          <w:rFonts w:ascii="Arial" w:hAnsi="Arial" w:cs="Arial"/>
          <w:sz w:val="24"/>
          <w:szCs w:val="24"/>
        </w:rPr>
        <w:t>turned</w:t>
      </w:r>
      <w:r w:rsidRPr="00FD133E">
        <w:rPr>
          <w:rFonts w:ascii="Arial" w:hAnsi="Arial" w:cs="Arial"/>
          <w:sz w:val="24"/>
          <w:szCs w:val="24"/>
        </w:rPr>
        <w:t xml:space="preserve"> solely</w:t>
      </w:r>
      <w:r w:rsidR="002D7001">
        <w:rPr>
          <w:rFonts w:ascii="Arial" w:hAnsi="Arial" w:cs="Arial"/>
          <w:sz w:val="24"/>
          <w:szCs w:val="24"/>
        </w:rPr>
        <w:t xml:space="preserve"> </w:t>
      </w:r>
      <w:r w:rsidR="000605F5">
        <w:rPr>
          <w:rFonts w:ascii="Arial" w:hAnsi="Arial" w:cs="Arial"/>
          <w:sz w:val="24"/>
          <w:szCs w:val="24"/>
        </w:rPr>
        <w:t>on</w:t>
      </w:r>
      <w:r w:rsidRPr="00FD133E">
        <w:rPr>
          <w:rFonts w:ascii="Arial" w:hAnsi="Arial" w:cs="Arial"/>
          <w:sz w:val="24"/>
          <w:szCs w:val="24"/>
        </w:rPr>
        <w:t xml:space="preserve"> whether the court properly exercised its discretion </w:t>
      </w:r>
      <w:r w:rsidR="00C679A8">
        <w:rPr>
          <w:rFonts w:ascii="Arial" w:hAnsi="Arial" w:cs="Arial"/>
          <w:sz w:val="24"/>
          <w:szCs w:val="24"/>
        </w:rPr>
        <w:t xml:space="preserve">on </w:t>
      </w:r>
      <w:r w:rsidR="0041442F" w:rsidRPr="0041442F">
        <w:rPr>
          <w:rFonts w:ascii="Arial" w:hAnsi="Arial" w:cs="Arial"/>
          <w:sz w:val="24"/>
          <w:szCs w:val="24"/>
        </w:rPr>
        <w:t>whether the individual was to be removed from the roll or suspended</w:t>
      </w:r>
      <w:r w:rsidRPr="00FD133E">
        <w:rPr>
          <w:rFonts w:ascii="Arial" w:hAnsi="Arial" w:cs="Arial"/>
          <w:sz w:val="24"/>
          <w:szCs w:val="24"/>
        </w:rPr>
        <w:t>. The exercise of this discretion involved two enquiries: the first was to establish the material facts, and the second was to evaluate those facts towards the correct objective.</w:t>
      </w:r>
      <w:r w:rsidR="00FA4915" w:rsidRPr="00FA4915">
        <w:rPr>
          <w:rFonts w:ascii="Verdana" w:hAnsi="Verdana"/>
          <w:color w:val="000000"/>
        </w:rPr>
        <w:t xml:space="preserve"> </w:t>
      </w:r>
      <w:r w:rsidR="00FA4915">
        <w:rPr>
          <w:rFonts w:ascii="Arial" w:hAnsi="Arial" w:cs="Arial"/>
          <w:sz w:val="24"/>
          <w:szCs w:val="24"/>
        </w:rPr>
        <w:t>The SCA c</w:t>
      </w:r>
      <w:r w:rsidR="00FA4915" w:rsidRPr="00FA4915">
        <w:rPr>
          <w:rFonts w:ascii="Arial" w:hAnsi="Arial" w:cs="Arial"/>
          <w:sz w:val="24"/>
          <w:szCs w:val="24"/>
        </w:rPr>
        <w:t>oncluded that the advocates had failed to establish a ground on which it could interfere with the decision.</w:t>
      </w:r>
    </w:p>
    <w:p w14:paraId="3293020C" w14:textId="45644A72" w:rsidR="00904E05" w:rsidRDefault="009919C2" w:rsidP="002F231C">
      <w:pPr>
        <w:spacing w:line="276" w:lineRule="auto"/>
        <w:jc w:val="both"/>
        <w:rPr>
          <w:rFonts w:ascii="Arial" w:hAnsi="Arial" w:cs="Arial"/>
          <w:b/>
          <w:sz w:val="24"/>
          <w:szCs w:val="24"/>
          <w:u w:val="single"/>
        </w:rPr>
      </w:pPr>
      <w:r w:rsidRPr="002B2886">
        <w:rPr>
          <w:rFonts w:ascii="Arial" w:hAnsi="Arial" w:cs="Arial"/>
          <w:b/>
          <w:sz w:val="24"/>
          <w:szCs w:val="24"/>
          <w:u w:val="single"/>
        </w:rPr>
        <w:t>PRINCIPLE:</w:t>
      </w:r>
      <w:r w:rsidR="00904E05">
        <w:rPr>
          <w:rFonts w:ascii="Arial" w:hAnsi="Arial" w:cs="Arial"/>
          <w:sz w:val="24"/>
          <w:szCs w:val="24"/>
        </w:rPr>
        <w:t xml:space="preserve"> T</w:t>
      </w:r>
      <w:r w:rsidR="002B2886" w:rsidRPr="002B2886">
        <w:rPr>
          <w:rFonts w:ascii="Arial" w:hAnsi="Arial" w:cs="Arial"/>
          <w:sz w:val="24"/>
          <w:szCs w:val="24"/>
        </w:rPr>
        <w:t>o charge a trial fee where the instructions are not to conduct a trial but instead to do something else is overreaching.</w:t>
      </w:r>
      <w:r w:rsidR="004E08A4">
        <w:rPr>
          <w:rFonts w:ascii="Arial" w:hAnsi="Arial" w:cs="Arial"/>
          <w:sz w:val="24"/>
          <w:szCs w:val="24"/>
        </w:rPr>
        <w:t xml:space="preserve"> Advocates </w:t>
      </w:r>
      <w:r w:rsidR="003B40FE">
        <w:rPr>
          <w:rFonts w:ascii="Arial" w:hAnsi="Arial" w:cs="Arial"/>
          <w:sz w:val="24"/>
          <w:szCs w:val="24"/>
        </w:rPr>
        <w:t xml:space="preserve">are </w:t>
      </w:r>
      <w:r w:rsidR="004E08A4">
        <w:rPr>
          <w:rFonts w:ascii="Arial" w:hAnsi="Arial" w:cs="Arial"/>
          <w:sz w:val="24"/>
          <w:szCs w:val="24"/>
        </w:rPr>
        <w:t>prohibited from accepting</w:t>
      </w:r>
      <w:r w:rsidR="00224916">
        <w:rPr>
          <w:rFonts w:ascii="Arial" w:hAnsi="Arial" w:cs="Arial"/>
          <w:sz w:val="24"/>
          <w:szCs w:val="24"/>
        </w:rPr>
        <w:t xml:space="preserve"> multiple </w:t>
      </w:r>
      <w:r w:rsidR="00224916" w:rsidRPr="00904E05">
        <w:rPr>
          <w:rFonts w:ascii="Arial" w:hAnsi="Arial" w:cs="Arial"/>
          <w:sz w:val="24"/>
          <w:szCs w:val="24"/>
          <w:u w:val="single"/>
        </w:rPr>
        <w:t>trial briefs</w:t>
      </w:r>
      <w:r w:rsidR="00224916">
        <w:rPr>
          <w:rFonts w:ascii="Arial" w:hAnsi="Arial" w:cs="Arial"/>
          <w:sz w:val="24"/>
          <w:szCs w:val="24"/>
        </w:rPr>
        <w:t xml:space="preserve"> on same day.</w:t>
      </w:r>
    </w:p>
    <w:p w14:paraId="0AA9313F" w14:textId="1D9B112A" w:rsidR="0085573D" w:rsidRPr="00E3376A" w:rsidRDefault="003D0DF7" w:rsidP="002F231C">
      <w:pPr>
        <w:spacing w:line="276" w:lineRule="auto"/>
        <w:jc w:val="both"/>
        <w:rPr>
          <w:rFonts w:ascii="Arial" w:hAnsi="Arial" w:cs="Arial"/>
          <w:sz w:val="28"/>
          <w:szCs w:val="24"/>
          <w:u w:val="single"/>
        </w:rPr>
      </w:pPr>
      <w:r w:rsidRPr="0085573D">
        <w:rPr>
          <w:rFonts w:ascii="Arial" w:eastAsiaTheme="minorHAnsi" w:hAnsi="Arial" w:cs="Arial"/>
          <w:b/>
          <w:noProof/>
          <w:sz w:val="24"/>
          <w:szCs w:val="24"/>
        </w:rPr>
        <w:lastRenderedPageBreak/>
        <mc:AlternateContent>
          <mc:Choice Requires="wps">
            <w:drawing>
              <wp:anchor distT="45720" distB="45720" distL="114300" distR="114300" simplePos="0" relativeHeight="251663360" behindDoc="0" locked="0" layoutInCell="1" allowOverlap="1" wp14:anchorId="640C61DF" wp14:editId="6B7C8986">
                <wp:simplePos x="0" y="0"/>
                <wp:positionH relativeFrom="margin">
                  <wp:posOffset>3257550</wp:posOffset>
                </wp:positionH>
                <wp:positionV relativeFrom="paragraph">
                  <wp:posOffset>0</wp:posOffset>
                </wp:positionV>
                <wp:extent cx="3286125" cy="764857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6125" cy="7648575"/>
                        </a:xfrm>
                        <a:prstGeom prst="rect">
                          <a:avLst/>
                        </a:prstGeom>
                        <a:solidFill>
                          <a:srgbClr val="FFFFFF"/>
                        </a:solidFill>
                        <a:ln w="9525">
                          <a:solidFill>
                            <a:srgbClr val="000000"/>
                          </a:solidFill>
                          <a:miter lim="800000"/>
                          <a:headEnd/>
                          <a:tailEnd/>
                        </a:ln>
                      </wps:spPr>
                      <wps:txbx>
                        <w:txbxContent>
                          <w:p w14:paraId="6DCE2F84" w14:textId="77777777" w:rsidR="00B45A20" w:rsidRPr="009042A0" w:rsidRDefault="00B45A20" w:rsidP="00E3376A">
                            <w:pPr>
                              <w:spacing w:after="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50088FE7" w14:textId="150BD083" w:rsidR="00B45A20" w:rsidRPr="00467350" w:rsidRDefault="00FD46E4" w:rsidP="00B45A20">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80H</w:t>
                            </w:r>
                            <w:r w:rsidR="00B45A20">
                              <w:rPr>
                                <w:rFonts w:ascii="Times New Roman" w:hAnsi="Times New Roman" w:cs="Times New Roman"/>
                                <w:b/>
                                <w:i/>
                                <w:sz w:val="22"/>
                                <w:szCs w:val="22"/>
                              </w:rPr>
                              <w:t>-</w:t>
                            </w:r>
                            <w:r w:rsidR="00E3376A">
                              <w:rPr>
                                <w:rFonts w:ascii="Times New Roman" w:hAnsi="Times New Roman" w:cs="Times New Roman"/>
                                <w:b/>
                                <w:i/>
                                <w:sz w:val="22"/>
                                <w:szCs w:val="22"/>
                              </w:rPr>
                              <w:t>81F</w:t>
                            </w:r>
                            <w:r w:rsidR="00B45A20" w:rsidRPr="009042A0">
                              <w:rPr>
                                <w:rFonts w:ascii="Times New Roman" w:hAnsi="Times New Roman" w:cs="Times New Roman"/>
                                <w:b/>
                                <w:i/>
                                <w:sz w:val="22"/>
                                <w:szCs w:val="22"/>
                              </w:rPr>
                              <w:t>:</w:t>
                            </w:r>
                            <w:r w:rsidR="00B45A20" w:rsidRPr="009042A0">
                              <w:rPr>
                                <w:rFonts w:ascii="Times New Roman" w:hAnsi="Times New Roman" w:cs="Times New Roman"/>
                                <w:i/>
                                <w:sz w:val="22"/>
                                <w:szCs w:val="22"/>
                              </w:rPr>
                              <w:t xml:space="preserve"> “</w:t>
                            </w:r>
                            <w:r w:rsidR="00B42F3F" w:rsidRPr="00EA47EF">
                              <w:rPr>
                                <w:rFonts w:ascii="Times New Roman" w:hAnsi="Times New Roman" w:cs="Times New Roman"/>
                                <w:i/>
                                <w:sz w:val="22"/>
                                <w:szCs w:val="22"/>
                                <w:u w:val="single"/>
                              </w:rPr>
                              <w:t>An agreement in terms of which a person provides funds to enable a litigant to prosecute an action in return for a share of the proceeds may be relevant in the context of abuse of process</w:t>
                            </w:r>
                            <w:r w:rsidR="00B42F3F" w:rsidRPr="00B42F3F">
                              <w:rPr>
                                <w:rFonts w:ascii="Times New Roman" w:hAnsi="Times New Roman" w:cs="Times New Roman"/>
                                <w:i/>
                                <w:sz w:val="22"/>
                                <w:szCs w:val="22"/>
                              </w:rPr>
                              <w:t>. It has long been recognised in South Africa that a court is entitled t</w:t>
                            </w:r>
                            <w:r w:rsidR="00DC1C44">
                              <w:rPr>
                                <w:rFonts w:ascii="Times New Roman" w:hAnsi="Times New Roman" w:cs="Times New Roman"/>
                                <w:i/>
                                <w:sz w:val="22"/>
                                <w:szCs w:val="22"/>
                              </w:rPr>
                              <w:t>o</w:t>
                            </w:r>
                            <w:r w:rsidR="00B42F3F" w:rsidRPr="00B42F3F">
                              <w:rPr>
                                <w:rFonts w:ascii="Times New Roman" w:hAnsi="Times New Roman" w:cs="Times New Roman"/>
                                <w:i/>
                                <w:sz w:val="22"/>
                                <w:szCs w:val="22"/>
                              </w:rPr>
                              <w:t xml:space="preserve"> protect itself and others against the abuse of its process</w:t>
                            </w:r>
                            <w:r w:rsidR="00EE23C3">
                              <w:rPr>
                                <w:rFonts w:ascii="Times New Roman" w:hAnsi="Times New Roman" w:cs="Times New Roman"/>
                                <w:i/>
                                <w:sz w:val="22"/>
                                <w:szCs w:val="22"/>
                              </w:rPr>
                              <w:t xml:space="preserve"> … </w:t>
                            </w:r>
                            <w:r w:rsidR="00B42F3F" w:rsidRPr="00B42F3F">
                              <w:rPr>
                                <w:rFonts w:ascii="Times New Roman" w:hAnsi="Times New Roman" w:cs="Times New Roman"/>
                                <w:i/>
                                <w:sz w:val="22"/>
                                <w:szCs w:val="22"/>
                              </w:rPr>
                              <w:t xml:space="preserve">but no all-embracing definition of 'abuse of process' has been formulated. </w:t>
                            </w:r>
                            <w:r w:rsidR="00B42F3F" w:rsidRPr="0085113B">
                              <w:rPr>
                                <w:rFonts w:ascii="Times New Roman" w:hAnsi="Times New Roman" w:cs="Times New Roman"/>
                                <w:i/>
                                <w:sz w:val="22"/>
                                <w:szCs w:val="22"/>
                                <w:u w:val="single"/>
                              </w:rPr>
                              <w:t xml:space="preserve">Frivolous or vexatious litigation has been held to be an abuse of process </w:t>
                            </w:r>
                            <w:r w:rsidR="00E80031" w:rsidRPr="0085113B">
                              <w:rPr>
                                <w:rFonts w:ascii="Times New Roman" w:hAnsi="Times New Roman" w:cs="Times New Roman"/>
                                <w:i/>
                                <w:sz w:val="22"/>
                                <w:szCs w:val="22"/>
                                <w:u w:val="single"/>
                              </w:rPr>
                              <w:t xml:space="preserve">… </w:t>
                            </w:r>
                            <w:r w:rsidR="00B42F3F" w:rsidRPr="0085113B">
                              <w:rPr>
                                <w:rFonts w:ascii="Times New Roman" w:hAnsi="Times New Roman" w:cs="Times New Roman"/>
                                <w:i/>
                                <w:sz w:val="22"/>
                                <w:szCs w:val="22"/>
                                <w:u w:val="single"/>
                              </w:rPr>
                              <w:t>and it has been said that 'an attempt made to use for ulterior purposes machinery devised for the better administration of justice' would constitute an abuse of the process</w:t>
                            </w:r>
                            <w:r w:rsidR="00E80031" w:rsidRPr="0085113B">
                              <w:rPr>
                                <w:rFonts w:ascii="Times New Roman" w:hAnsi="Times New Roman" w:cs="Times New Roman"/>
                                <w:i/>
                                <w:sz w:val="22"/>
                                <w:szCs w:val="22"/>
                                <w:u w:val="single"/>
                              </w:rPr>
                              <w:t xml:space="preserve"> …</w:t>
                            </w:r>
                            <w:r w:rsidR="00B42F3F" w:rsidRPr="0085113B">
                              <w:rPr>
                                <w:rFonts w:ascii="Times New Roman" w:hAnsi="Times New Roman" w:cs="Times New Roman"/>
                                <w:i/>
                                <w:sz w:val="22"/>
                                <w:szCs w:val="22"/>
                                <w:u w:val="single"/>
                              </w:rPr>
                              <w:t xml:space="preserve"> In general, legal process is used properly when it is invoked for the vindication of rights or the enforcement of just claims and it is abused when it is diverted from its true course so as to serve extortion or oppression; or to exert pressure so as to achieve an improper end. </w:t>
                            </w:r>
                            <w:r w:rsidR="00B42F3F" w:rsidRPr="00B42F3F">
                              <w:rPr>
                                <w:rFonts w:ascii="Times New Roman" w:hAnsi="Times New Roman" w:cs="Times New Roman"/>
                                <w:i/>
                                <w:sz w:val="22"/>
                                <w:szCs w:val="22"/>
                              </w:rPr>
                              <w:t xml:space="preserve">The mere application of a particular court procedure for a purpose other than that for which it was primarily intended is typical, but not complete proof, of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In order to prove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a further inference that an improper result was intended is required. Such an application of a court procedure</w:t>
                            </w:r>
                            <w:r w:rsidR="00181F2F">
                              <w:rPr>
                                <w:rFonts w:ascii="Times New Roman" w:hAnsi="Times New Roman" w:cs="Times New Roman"/>
                                <w:i/>
                                <w:sz w:val="22"/>
                                <w:szCs w:val="22"/>
                              </w:rPr>
                              <w:t xml:space="preserve"> … </w:t>
                            </w:r>
                            <w:r w:rsidR="00B42F3F" w:rsidRPr="00B42F3F">
                              <w:rPr>
                                <w:rFonts w:ascii="Times New Roman" w:hAnsi="Times New Roman" w:cs="Times New Roman"/>
                                <w:i/>
                                <w:sz w:val="22"/>
                                <w:szCs w:val="22"/>
                              </w:rPr>
                              <w:t xml:space="preserve">is therefore a characteristic, rather than a definition, of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Purpose or motive, even a mischievous or malicious motive, is not in general a criterion for unlawfulness or invalidity. </w:t>
                            </w:r>
                            <w:r w:rsidR="00B42F3F" w:rsidRPr="008F6A41">
                              <w:rPr>
                                <w:rFonts w:ascii="Times New Roman" w:hAnsi="Times New Roman" w:cs="Times New Roman"/>
                                <w:i/>
                                <w:sz w:val="22"/>
                                <w:szCs w:val="22"/>
                                <w:u w:val="single"/>
                              </w:rPr>
                              <w:t>An improper motive may, however, be a factor where the abuse of court process is in issue</w:t>
                            </w:r>
                            <w:r w:rsidR="00A03529" w:rsidRPr="008F6A41">
                              <w:rPr>
                                <w:rFonts w:ascii="Times New Roman" w:hAnsi="Times New Roman" w:cs="Times New Roman"/>
                                <w:i/>
                                <w:sz w:val="22"/>
                                <w:szCs w:val="22"/>
                                <w:u w:val="single"/>
                              </w:rPr>
                              <w:t>…</w:t>
                            </w:r>
                            <w:r w:rsidR="00B42F3F" w:rsidRPr="008F6A41">
                              <w:rPr>
                                <w:rFonts w:ascii="Times New Roman" w:hAnsi="Times New Roman" w:cs="Times New Roman"/>
                                <w:i/>
                                <w:sz w:val="22"/>
                                <w:szCs w:val="22"/>
                                <w:u w:val="single"/>
                              </w:rPr>
                              <w:t xml:space="preserve">Accordingly, a plaintiff who has no </w:t>
                            </w:r>
                            <w:r w:rsidR="00B42F3F" w:rsidRPr="008F6A41">
                              <w:rPr>
                                <w:rFonts w:ascii="Times New Roman" w:hAnsi="Times New Roman" w:cs="Times New Roman"/>
                                <w:i/>
                                <w:iCs/>
                                <w:sz w:val="22"/>
                                <w:szCs w:val="22"/>
                                <w:u w:val="single"/>
                              </w:rPr>
                              <w:t>bona fide</w:t>
                            </w:r>
                            <w:r w:rsidR="00B42F3F" w:rsidRPr="008F6A41">
                              <w:rPr>
                                <w:rFonts w:ascii="Times New Roman" w:hAnsi="Times New Roman" w:cs="Times New Roman"/>
                                <w:i/>
                                <w:sz w:val="22"/>
                                <w:szCs w:val="22"/>
                                <w:u w:val="single"/>
                              </w:rPr>
                              <w:t xml:space="preserve"> claim but intends to use litigation to cause the defendant financial (or other) prejudice will be abusing the process</w:t>
                            </w:r>
                            <w:r w:rsidR="00B42F3F" w:rsidRPr="00B42F3F">
                              <w:rPr>
                                <w:rFonts w:ascii="Times New Roman" w:hAnsi="Times New Roman" w:cs="Times New Roman"/>
                                <w:i/>
                                <w:sz w:val="22"/>
                                <w:szCs w:val="22"/>
                              </w:rPr>
                              <w:t xml:space="preserve"> </w:t>
                            </w:r>
                            <w:r w:rsidR="002E3DFD">
                              <w:rPr>
                                <w:rFonts w:ascii="Times New Roman" w:hAnsi="Times New Roman" w:cs="Times New Roman"/>
                                <w:i/>
                                <w:sz w:val="22"/>
                                <w:szCs w:val="22"/>
                              </w:rPr>
                              <w:t xml:space="preserve">… </w:t>
                            </w:r>
                            <w:r w:rsidR="00B42F3F" w:rsidRPr="00B42F3F">
                              <w:rPr>
                                <w:rFonts w:ascii="Times New Roman" w:hAnsi="Times New Roman" w:cs="Times New Roman"/>
                                <w:i/>
                                <w:sz w:val="22"/>
                                <w:szCs w:val="22"/>
                              </w:rPr>
                              <w:t xml:space="preserve">Nevertheless it is important to bear in mind that courts of law are open to all and it is only in exceptional cases that a court will close its doors to anyone who wishes to prosecute an action </w:t>
                            </w:r>
                            <w:r w:rsidR="002E3DFD">
                              <w:rPr>
                                <w:rFonts w:ascii="Times New Roman" w:hAnsi="Times New Roman" w:cs="Times New Roman"/>
                                <w:i/>
                                <w:sz w:val="22"/>
                                <w:szCs w:val="22"/>
                              </w:rPr>
                              <w:t xml:space="preserve">… </w:t>
                            </w:r>
                            <w:r w:rsidR="00B42F3F" w:rsidRPr="00B42F3F">
                              <w:rPr>
                                <w:rFonts w:ascii="Times New Roman" w:hAnsi="Times New Roman" w:cs="Times New Roman"/>
                                <w:i/>
                                <w:sz w:val="22"/>
                                <w:szCs w:val="22"/>
                              </w:rPr>
                              <w:t xml:space="preserve">The importance of the right of access to courts enshrined by s 34 of the Constitution has already been referred to. However, where a litigant abuses the process this right will be restricted to protect and secure the right of access for those with </w:t>
                            </w:r>
                            <w:r w:rsidR="00B42F3F" w:rsidRPr="00B42F3F">
                              <w:rPr>
                                <w:rFonts w:ascii="Times New Roman" w:hAnsi="Times New Roman" w:cs="Times New Roman"/>
                                <w:i/>
                                <w:iCs/>
                                <w:sz w:val="22"/>
                                <w:szCs w:val="22"/>
                              </w:rPr>
                              <w:t>bona fide</w:t>
                            </w:r>
                            <w:r w:rsidR="00B42F3F" w:rsidRPr="00B42F3F">
                              <w:rPr>
                                <w:rFonts w:ascii="Times New Roman" w:hAnsi="Times New Roman" w:cs="Times New Roman"/>
                                <w:i/>
                                <w:sz w:val="22"/>
                                <w:szCs w:val="22"/>
                              </w:rPr>
                              <w:t xml:space="preserve"> disputes</w:t>
                            </w:r>
                            <w:r w:rsidR="009B0769">
                              <w:rPr>
                                <w:rFonts w:ascii="Times New Roman" w:hAnsi="Times New Roman" w:cs="Times New Roman"/>
                                <w:i/>
                                <w:sz w:val="22"/>
                                <w:szCs w:val="22"/>
                              </w:rPr>
                              <w:t>.</w:t>
                            </w:r>
                            <w:r w:rsidR="00467350">
                              <w:rPr>
                                <w:rFonts w:ascii="Times New Roman" w:hAnsi="Times New Roman" w:cs="Times New Roman"/>
                                <w:i/>
                                <w:sz w:val="22"/>
                                <w:szCs w:val="22"/>
                              </w:rPr>
                              <w:t>”</w:t>
                            </w:r>
                          </w:p>
                          <w:p w14:paraId="73858042" w14:textId="77777777" w:rsidR="00B45A20" w:rsidRPr="00101B97" w:rsidRDefault="00B45A20" w:rsidP="00B45A20">
                            <w:pPr>
                              <w:spacing w:line="276" w:lineRule="auto"/>
                              <w:rPr>
                                <w:i/>
                                <w:sz w:val="22"/>
                                <w:szCs w:val="22"/>
                              </w:rPr>
                            </w:pPr>
                          </w:p>
                          <w:p w14:paraId="63966108" w14:textId="77777777" w:rsidR="00B45A20" w:rsidRPr="00101B97" w:rsidRDefault="00B45A20" w:rsidP="00B45A20">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0C61DF" id="_x0000_s1028" type="#_x0000_t202" style="position:absolute;left:0;text-align:left;margin-left:256.5pt;margin-top:0;width:258.75pt;height:602.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NhhJgIAAEwEAAAOAAAAZHJzL2Uyb0RvYy54bWysVNuO2yAQfa/Uf0C8N07cJJu14qy22aaq&#10;tL1Iu/0AjHGMCgwFEjv9+h2wN00v6kNVPyCGGQ5nzsx4fdNrRY7CeQmmpLPJlBJhONTS7Ev65XH3&#10;akWJD8zUTIERJT0JT282L1+sO1uIHFpQtXAEQYwvOlvSNgRbZJnnrdDMT8AKg84GnGYBTbfPasc6&#10;RNcqy6fTZdaBq60DLrzH07vBSTcJv2kED5+axotAVEmRW0irS2sV12yzZsXeMdtKPtJg/8BCM2nw&#10;0TPUHQuMHJz8DUpL7sBDEyYcdAZNI7lIOWA2s+kv2Ty0zIqUC4rj7Vkm//9g+cfjZ0dkXdKcEsM0&#10;luhR9IG8gZ7kUZ3O+gKDHiyGhR6PscopU2/vgX/1xMC2ZWYvbp2DrhWsRnazeDO7uDrg+AhSdR+g&#10;xmfYIUAC6huno3QoBkF0rNLpXJlIhePh63y1nOULSjj6rpbz1eJqkd5gxfN163x4J0CTuCmpw9In&#10;eHa89yHSYcVzSHzNg5L1TiqVDLevtsqRI8M22aVvRP8pTBnSlfR6gUT+DjFN358gtAzY70rqkq7O&#10;QayIur01derGwKQa9khZmVHIqN2gYuirfqzYWJ8K6hMq62BobxxH3LTgvlPSYWuX1H87MCcoUe8N&#10;Vud6Np/HWUjGfHGVo+EuPdWlhxmOUCUNlAzbbUjzExUwcItVbGTSN5Z7YDJSxpZNso/jFWfi0k5R&#10;P34CmycAAAD//wMAUEsDBBQABgAIAAAAIQDjvi0I4QAAAAoBAAAPAAAAZHJzL2Rvd25yZXYueG1s&#10;TI/BTsMwEETvSPyDtUhcUGu3aUoJcSqEBKI3aBFc3dhNIux1sN00/D3bE1xWu5rR7JtyPTrLBhNi&#10;51HCbCqAGay97rCR8L57mqyAxaRQK+vRSPgxEdbV5UWpCu1P+GaGbWoYhWAslIQ2pb7gPNatcSpO&#10;fW+QtIMPTiU6Q8N1UCcKd5bPhVhypzqkD63qzWNr6q/t0UlYLV6Gz7jJXj/q5cHepZvb4fk7SHl9&#10;NT7cA0tmTH9mOOMTOlTEtPdH1JFZCfksoy5JAs2zLDKRA9vTNheLHHhV8v8Vql8AAAD//wMAUEsB&#10;Ai0AFAAGAAgAAAAhALaDOJL+AAAA4QEAABMAAAAAAAAAAAAAAAAAAAAAAFtDb250ZW50X1R5cGVz&#10;XS54bWxQSwECLQAUAAYACAAAACEAOP0h/9YAAACUAQAACwAAAAAAAAAAAAAAAAAvAQAAX3JlbHMv&#10;LnJlbHNQSwECLQAUAAYACAAAACEAtRzYYSYCAABMBAAADgAAAAAAAAAAAAAAAAAuAgAAZHJzL2Uy&#10;b0RvYy54bWxQSwECLQAUAAYACAAAACEA474tCOEAAAAKAQAADwAAAAAAAAAAAAAAAACABAAAZHJz&#10;L2Rvd25yZXYueG1sUEsFBgAAAAAEAAQA8wAAAI4FAAAAAA==&#10;">
                <v:textbox>
                  <w:txbxContent>
                    <w:p w14:paraId="6DCE2F84" w14:textId="77777777" w:rsidR="00B45A20" w:rsidRPr="009042A0" w:rsidRDefault="00B45A20" w:rsidP="00E3376A">
                      <w:pPr>
                        <w:spacing w:after="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50088FE7" w14:textId="150BD083" w:rsidR="00B45A20" w:rsidRPr="00467350" w:rsidRDefault="00FD46E4" w:rsidP="00B45A20">
                      <w:pPr>
                        <w:spacing w:line="276" w:lineRule="auto"/>
                        <w:jc w:val="both"/>
                        <w:rPr>
                          <w:rFonts w:ascii="Times New Roman" w:hAnsi="Times New Roman" w:cs="Times New Roman"/>
                          <w:i/>
                          <w:sz w:val="22"/>
                          <w:szCs w:val="22"/>
                        </w:rPr>
                      </w:pPr>
                      <w:r>
                        <w:rPr>
                          <w:rFonts w:ascii="Times New Roman" w:hAnsi="Times New Roman" w:cs="Times New Roman"/>
                          <w:b/>
                          <w:i/>
                          <w:sz w:val="22"/>
                          <w:szCs w:val="22"/>
                        </w:rPr>
                        <w:t>80H</w:t>
                      </w:r>
                      <w:r w:rsidR="00B45A20">
                        <w:rPr>
                          <w:rFonts w:ascii="Times New Roman" w:hAnsi="Times New Roman" w:cs="Times New Roman"/>
                          <w:b/>
                          <w:i/>
                          <w:sz w:val="22"/>
                          <w:szCs w:val="22"/>
                        </w:rPr>
                        <w:t>-</w:t>
                      </w:r>
                      <w:r w:rsidR="00E3376A">
                        <w:rPr>
                          <w:rFonts w:ascii="Times New Roman" w:hAnsi="Times New Roman" w:cs="Times New Roman"/>
                          <w:b/>
                          <w:i/>
                          <w:sz w:val="22"/>
                          <w:szCs w:val="22"/>
                        </w:rPr>
                        <w:t>81F</w:t>
                      </w:r>
                      <w:r w:rsidR="00B45A20" w:rsidRPr="009042A0">
                        <w:rPr>
                          <w:rFonts w:ascii="Times New Roman" w:hAnsi="Times New Roman" w:cs="Times New Roman"/>
                          <w:b/>
                          <w:i/>
                          <w:sz w:val="22"/>
                          <w:szCs w:val="22"/>
                        </w:rPr>
                        <w:t>:</w:t>
                      </w:r>
                      <w:r w:rsidR="00B45A20" w:rsidRPr="009042A0">
                        <w:rPr>
                          <w:rFonts w:ascii="Times New Roman" w:hAnsi="Times New Roman" w:cs="Times New Roman"/>
                          <w:i/>
                          <w:sz w:val="22"/>
                          <w:szCs w:val="22"/>
                        </w:rPr>
                        <w:t xml:space="preserve"> “</w:t>
                      </w:r>
                      <w:r w:rsidR="00B42F3F" w:rsidRPr="00EA47EF">
                        <w:rPr>
                          <w:rFonts w:ascii="Times New Roman" w:hAnsi="Times New Roman" w:cs="Times New Roman"/>
                          <w:i/>
                          <w:sz w:val="22"/>
                          <w:szCs w:val="22"/>
                          <w:u w:val="single"/>
                        </w:rPr>
                        <w:t>An agreement in terms of which a person provides funds to enable a litigant to prosecute an action in return for a share of the proceeds may be relevant in the context of abuse of process</w:t>
                      </w:r>
                      <w:r w:rsidR="00B42F3F" w:rsidRPr="00B42F3F">
                        <w:rPr>
                          <w:rFonts w:ascii="Times New Roman" w:hAnsi="Times New Roman" w:cs="Times New Roman"/>
                          <w:i/>
                          <w:sz w:val="22"/>
                          <w:szCs w:val="22"/>
                        </w:rPr>
                        <w:t>. It has long been recognised in South Africa that a court is entitled t</w:t>
                      </w:r>
                      <w:r w:rsidR="00DC1C44">
                        <w:rPr>
                          <w:rFonts w:ascii="Times New Roman" w:hAnsi="Times New Roman" w:cs="Times New Roman"/>
                          <w:i/>
                          <w:sz w:val="22"/>
                          <w:szCs w:val="22"/>
                        </w:rPr>
                        <w:t>o</w:t>
                      </w:r>
                      <w:r w:rsidR="00B42F3F" w:rsidRPr="00B42F3F">
                        <w:rPr>
                          <w:rFonts w:ascii="Times New Roman" w:hAnsi="Times New Roman" w:cs="Times New Roman"/>
                          <w:i/>
                          <w:sz w:val="22"/>
                          <w:szCs w:val="22"/>
                        </w:rPr>
                        <w:t xml:space="preserve"> protect itself and others against the abuse of its process</w:t>
                      </w:r>
                      <w:r w:rsidR="00EE23C3">
                        <w:rPr>
                          <w:rFonts w:ascii="Times New Roman" w:hAnsi="Times New Roman" w:cs="Times New Roman"/>
                          <w:i/>
                          <w:sz w:val="22"/>
                          <w:szCs w:val="22"/>
                        </w:rPr>
                        <w:t xml:space="preserve"> … </w:t>
                      </w:r>
                      <w:r w:rsidR="00B42F3F" w:rsidRPr="00B42F3F">
                        <w:rPr>
                          <w:rFonts w:ascii="Times New Roman" w:hAnsi="Times New Roman" w:cs="Times New Roman"/>
                          <w:i/>
                          <w:sz w:val="22"/>
                          <w:szCs w:val="22"/>
                        </w:rPr>
                        <w:t xml:space="preserve">but no all-embracing definition of 'abuse of process' has been formulated. </w:t>
                      </w:r>
                      <w:r w:rsidR="00B42F3F" w:rsidRPr="0085113B">
                        <w:rPr>
                          <w:rFonts w:ascii="Times New Roman" w:hAnsi="Times New Roman" w:cs="Times New Roman"/>
                          <w:i/>
                          <w:sz w:val="22"/>
                          <w:szCs w:val="22"/>
                          <w:u w:val="single"/>
                        </w:rPr>
                        <w:t xml:space="preserve">Frivolous or vexatious litigation has been held to be an abuse of process </w:t>
                      </w:r>
                      <w:r w:rsidR="00E80031" w:rsidRPr="0085113B">
                        <w:rPr>
                          <w:rFonts w:ascii="Times New Roman" w:hAnsi="Times New Roman" w:cs="Times New Roman"/>
                          <w:i/>
                          <w:sz w:val="22"/>
                          <w:szCs w:val="22"/>
                          <w:u w:val="single"/>
                        </w:rPr>
                        <w:t xml:space="preserve">… </w:t>
                      </w:r>
                      <w:r w:rsidR="00B42F3F" w:rsidRPr="0085113B">
                        <w:rPr>
                          <w:rFonts w:ascii="Times New Roman" w:hAnsi="Times New Roman" w:cs="Times New Roman"/>
                          <w:i/>
                          <w:sz w:val="22"/>
                          <w:szCs w:val="22"/>
                          <w:u w:val="single"/>
                        </w:rPr>
                        <w:t>and it has been said that 'an attempt made to use for ulterior purposes machinery devised for the better administration of justice' would constitute an abuse of the process</w:t>
                      </w:r>
                      <w:r w:rsidR="00E80031" w:rsidRPr="0085113B">
                        <w:rPr>
                          <w:rFonts w:ascii="Times New Roman" w:hAnsi="Times New Roman" w:cs="Times New Roman"/>
                          <w:i/>
                          <w:sz w:val="22"/>
                          <w:szCs w:val="22"/>
                          <w:u w:val="single"/>
                        </w:rPr>
                        <w:t xml:space="preserve"> …</w:t>
                      </w:r>
                      <w:r w:rsidR="00B42F3F" w:rsidRPr="0085113B">
                        <w:rPr>
                          <w:rFonts w:ascii="Times New Roman" w:hAnsi="Times New Roman" w:cs="Times New Roman"/>
                          <w:i/>
                          <w:sz w:val="22"/>
                          <w:szCs w:val="22"/>
                          <w:u w:val="single"/>
                        </w:rPr>
                        <w:t xml:space="preserve"> In general, legal process is used properly when it is invoked for the vindication of rights or the enforcement of just claims and it is abused when it is diverted from its true course so as to serve extortion or oppression; or to exert pressure so as to achieve an improper end. </w:t>
                      </w:r>
                      <w:r w:rsidR="00B42F3F" w:rsidRPr="00B42F3F">
                        <w:rPr>
                          <w:rFonts w:ascii="Times New Roman" w:hAnsi="Times New Roman" w:cs="Times New Roman"/>
                          <w:i/>
                          <w:sz w:val="22"/>
                          <w:szCs w:val="22"/>
                        </w:rPr>
                        <w:t xml:space="preserve">The mere application of a particular court procedure for a purpose other than that for which it was primarily intended is typical, but not complete proof, of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In order to prove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a further inference that an improper result was intended is required. Such an application of a court procedure</w:t>
                      </w:r>
                      <w:r w:rsidR="00181F2F">
                        <w:rPr>
                          <w:rFonts w:ascii="Times New Roman" w:hAnsi="Times New Roman" w:cs="Times New Roman"/>
                          <w:i/>
                          <w:sz w:val="22"/>
                          <w:szCs w:val="22"/>
                        </w:rPr>
                        <w:t xml:space="preserve"> … </w:t>
                      </w:r>
                      <w:r w:rsidR="00B42F3F" w:rsidRPr="00B42F3F">
                        <w:rPr>
                          <w:rFonts w:ascii="Times New Roman" w:hAnsi="Times New Roman" w:cs="Times New Roman"/>
                          <w:i/>
                          <w:sz w:val="22"/>
                          <w:szCs w:val="22"/>
                        </w:rPr>
                        <w:t xml:space="preserve">is therefore a characteristic, rather than a definition, of </w:t>
                      </w:r>
                      <w:r w:rsidR="00B42F3F" w:rsidRPr="00B42F3F">
                        <w:rPr>
                          <w:rFonts w:ascii="Times New Roman" w:hAnsi="Times New Roman" w:cs="Times New Roman"/>
                          <w:i/>
                          <w:iCs/>
                          <w:sz w:val="22"/>
                          <w:szCs w:val="22"/>
                        </w:rPr>
                        <w:t>mala fides</w:t>
                      </w:r>
                      <w:r w:rsidR="00B42F3F" w:rsidRPr="00B42F3F">
                        <w:rPr>
                          <w:rFonts w:ascii="Times New Roman" w:hAnsi="Times New Roman" w:cs="Times New Roman"/>
                          <w:i/>
                          <w:sz w:val="22"/>
                          <w:szCs w:val="22"/>
                        </w:rPr>
                        <w:t xml:space="preserve">. Purpose or motive, even a mischievous or malicious motive, is not in general a criterion for unlawfulness or invalidity. </w:t>
                      </w:r>
                      <w:r w:rsidR="00B42F3F" w:rsidRPr="008F6A41">
                        <w:rPr>
                          <w:rFonts w:ascii="Times New Roman" w:hAnsi="Times New Roman" w:cs="Times New Roman"/>
                          <w:i/>
                          <w:sz w:val="22"/>
                          <w:szCs w:val="22"/>
                          <w:u w:val="single"/>
                        </w:rPr>
                        <w:t>An improper motive may, however, be a factor where the abuse of court process is in issue</w:t>
                      </w:r>
                      <w:r w:rsidR="00A03529" w:rsidRPr="008F6A41">
                        <w:rPr>
                          <w:rFonts w:ascii="Times New Roman" w:hAnsi="Times New Roman" w:cs="Times New Roman"/>
                          <w:i/>
                          <w:sz w:val="22"/>
                          <w:szCs w:val="22"/>
                          <w:u w:val="single"/>
                        </w:rPr>
                        <w:t>…</w:t>
                      </w:r>
                      <w:r w:rsidR="00B42F3F" w:rsidRPr="008F6A41">
                        <w:rPr>
                          <w:rFonts w:ascii="Times New Roman" w:hAnsi="Times New Roman" w:cs="Times New Roman"/>
                          <w:i/>
                          <w:sz w:val="22"/>
                          <w:szCs w:val="22"/>
                          <w:u w:val="single"/>
                        </w:rPr>
                        <w:t xml:space="preserve">Accordingly, a plaintiff who has no </w:t>
                      </w:r>
                      <w:r w:rsidR="00B42F3F" w:rsidRPr="008F6A41">
                        <w:rPr>
                          <w:rFonts w:ascii="Times New Roman" w:hAnsi="Times New Roman" w:cs="Times New Roman"/>
                          <w:i/>
                          <w:iCs/>
                          <w:sz w:val="22"/>
                          <w:szCs w:val="22"/>
                          <w:u w:val="single"/>
                        </w:rPr>
                        <w:t>bona fide</w:t>
                      </w:r>
                      <w:r w:rsidR="00B42F3F" w:rsidRPr="008F6A41">
                        <w:rPr>
                          <w:rFonts w:ascii="Times New Roman" w:hAnsi="Times New Roman" w:cs="Times New Roman"/>
                          <w:i/>
                          <w:sz w:val="22"/>
                          <w:szCs w:val="22"/>
                          <w:u w:val="single"/>
                        </w:rPr>
                        <w:t xml:space="preserve"> claim but intends to use litigation to cause the defendant financial (or other) prejudice will be abusing the process</w:t>
                      </w:r>
                      <w:r w:rsidR="00B42F3F" w:rsidRPr="00B42F3F">
                        <w:rPr>
                          <w:rFonts w:ascii="Times New Roman" w:hAnsi="Times New Roman" w:cs="Times New Roman"/>
                          <w:i/>
                          <w:sz w:val="22"/>
                          <w:szCs w:val="22"/>
                        </w:rPr>
                        <w:t xml:space="preserve"> </w:t>
                      </w:r>
                      <w:r w:rsidR="002E3DFD">
                        <w:rPr>
                          <w:rFonts w:ascii="Times New Roman" w:hAnsi="Times New Roman" w:cs="Times New Roman"/>
                          <w:i/>
                          <w:sz w:val="22"/>
                          <w:szCs w:val="22"/>
                        </w:rPr>
                        <w:t xml:space="preserve">… </w:t>
                      </w:r>
                      <w:r w:rsidR="00B42F3F" w:rsidRPr="00B42F3F">
                        <w:rPr>
                          <w:rFonts w:ascii="Times New Roman" w:hAnsi="Times New Roman" w:cs="Times New Roman"/>
                          <w:i/>
                          <w:sz w:val="22"/>
                          <w:szCs w:val="22"/>
                        </w:rPr>
                        <w:t xml:space="preserve">Nevertheless it is important to bear in mind that courts of law are open to all and it is only in exceptional cases that a court will close its doors to anyone who wishes to prosecute an action </w:t>
                      </w:r>
                      <w:r w:rsidR="002E3DFD">
                        <w:rPr>
                          <w:rFonts w:ascii="Times New Roman" w:hAnsi="Times New Roman" w:cs="Times New Roman"/>
                          <w:i/>
                          <w:sz w:val="22"/>
                          <w:szCs w:val="22"/>
                        </w:rPr>
                        <w:t xml:space="preserve">… </w:t>
                      </w:r>
                      <w:r w:rsidR="00B42F3F" w:rsidRPr="00B42F3F">
                        <w:rPr>
                          <w:rFonts w:ascii="Times New Roman" w:hAnsi="Times New Roman" w:cs="Times New Roman"/>
                          <w:i/>
                          <w:sz w:val="22"/>
                          <w:szCs w:val="22"/>
                        </w:rPr>
                        <w:t xml:space="preserve">The importance of the right of access to courts enshrined by s 34 of the Constitution has already been referred to. However, where a litigant abuses the process this right will be restricted to protect and secure the right of access for those with </w:t>
                      </w:r>
                      <w:r w:rsidR="00B42F3F" w:rsidRPr="00B42F3F">
                        <w:rPr>
                          <w:rFonts w:ascii="Times New Roman" w:hAnsi="Times New Roman" w:cs="Times New Roman"/>
                          <w:i/>
                          <w:iCs/>
                          <w:sz w:val="22"/>
                          <w:szCs w:val="22"/>
                        </w:rPr>
                        <w:t>bona fide</w:t>
                      </w:r>
                      <w:r w:rsidR="00B42F3F" w:rsidRPr="00B42F3F">
                        <w:rPr>
                          <w:rFonts w:ascii="Times New Roman" w:hAnsi="Times New Roman" w:cs="Times New Roman"/>
                          <w:i/>
                          <w:sz w:val="22"/>
                          <w:szCs w:val="22"/>
                        </w:rPr>
                        <w:t xml:space="preserve"> disputes</w:t>
                      </w:r>
                      <w:r w:rsidR="009B0769">
                        <w:rPr>
                          <w:rFonts w:ascii="Times New Roman" w:hAnsi="Times New Roman" w:cs="Times New Roman"/>
                          <w:i/>
                          <w:sz w:val="22"/>
                          <w:szCs w:val="22"/>
                        </w:rPr>
                        <w:t>.</w:t>
                      </w:r>
                      <w:r w:rsidR="00467350">
                        <w:rPr>
                          <w:rFonts w:ascii="Times New Roman" w:hAnsi="Times New Roman" w:cs="Times New Roman"/>
                          <w:i/>
                          <w:sz w:val="22"/>
                          <w:szCs w:val="22"/>
                        </w:rPr>
                        <w:t>”</w:t>
                      </w:r>
                    </w:p>
                    <w:p w14:paraId="73858042" w14:textId="77777777" w:rsidR="00B45A20" w:rsidRPr="00101B97" w:rsidRDefault="00B45A20" w:rsidP="00B45A20">
                      <w:pPr>
                        <w:spacing w:line="276" w:lineRule="auto"/>
                        <w:rPr>
                          <w:i/>
                          <w:sz w:val="22"/>
                          <w:szCs w:val="22"/>
                        </w:rPr>
                      </w:pPr>
                    </w:p>
                    <w:p w14:paraId="63966108" w14:textId="77777777" w:rsidR="00B45A20" w:rsidRPr="00101B97" w:rsidRDefault="00B45A20" w:rsidP="00B45A20">
                      <w:pPr>
                        <w:spacing w:line="276" w:lineRule="auto"/>
                        <w:rPr>
                          <w:i/>
                          <w:sz w:val="22"/>
                          <w:szCs w:val="22"/>
                        </w:rPr>
                      </w:pPr>
                    </w:p>
                  </w:txbxContent>
                </v:textbox>
                <w10:wrap type="square" anchorx="margin"/>
              </v:shape>
            </w:pict>
          </mc:Fallback>
        </mc:AlternateContent>
      </w:r>
      <w:r w:rsidR="001800FE" w:rsidRPr="00E3376A">
        <w:rPr>
          <w:rFonts w:ascii="Arial" w:hAnsi="Arial" w:cs="Arial"/>
          <w:b/>
          <w:sz w:val="28"/>
          <w:szCs w:val="24"/>
          <w:u w:val="single"/>
        </w:rPr>
        <w:t>PWC v National Potato Cooperative</w:t>
      </w:r>
      <w:r w:rsidR="006B5E93" w:rsidRPr="00E3376A">
        <w:rPr>
          <w:rFonts w:ascii="Arial" w:hAnsi="Arial" w:cs="Arial"/>
          <w:b/>
          <w:sz w:val="28"/>
          <w:szCs w:val="24"/>
          <w:u w:val="single"/>
        </w:rPr>
        <w:t xml:space="preserve"> Ltd</w:t>
      </w:r>
      <w:r w:rsidR="001800FE" w:rsidRPr="00E3376A">
        <w:rPr>
          <w:rFonts w:ascii="Arial" w:hAnsi="Arial" w:cs="Arial"/>
          <w:sz w:val="28"/>
          <w:szCs w:val="24"/>
          <w:u w:val="single"/>
        </w:rPr>
        <w:t xml:space="preserve"> 2004</w:t>
      </w:r>
      <w:r w:rsidR="00377EBC" w:rsidRPr="00E3376A">
        <w:rPr>
          <w:rFonts w:ascii="Arial" w:hAnsi="Arial" w:cs="Arial"/>
          <w:sz w:val="28"/>
          <w:szCs w:val="24"/>
          <w:u w:val="single"/>
        </w:rPr>
        <w:t xml:space="preserve"> (6) </w:t>
      </w:r>
      <w:r w:rsidR="00CB776D" w:rsidRPr="00E3376A">
        <w:rPr>
          <w:rFonts w:ascii="Arial" w:hAnsi="Arial" w:cs="Arial"/>
          <w:sz w:val="28"/>
          <w:szCs w:val="24"/>
          <w:u w:val="single"/>
        </w:rPr>
        <w:t>SA 66 (SCA)</w:t>
      </w:r>
      <w:r w:rsidR="001800FE" w:rsidRPr="00E3376A">
        <w:rPr>
          <w:rFonts w:ascii="Arial" w:hAnsi="Arial" w:cs="Arial"/>
          <w:sz w:val="28"/>
          <w:szCs w:val="24"/>
          <w:u w:val="single"/>
        </w:rPr>
        <w:t xml:space="preserve"> </w:t>
      </w:r>
    </w:p>
    <w:p w14:paraId="2EB41E94" w14:textId="77777777" w:rsidR="003D0DF7" w:rsidRDefault="00DE0E7F" w:rsidP="002F231C">
      <w:pPr>
        <w:spacing w:line="276" w:lineRule="auto"/>
        <w:jc w:val="both"/>
        <w:rPr>
          <w:rFonts w:ascii="Arial" w:hAnsi="Arial" w:cs="Arial"/>
          <w:b/>
          <w:sz w:val="24"/>
          <w:szCs w:val="24"/>
          <w:u w:val="single"/>
        </w:rPr>
      </w:pPr>
      <w:r w:rsidRPr="00C53689">
        <w:rPr>
          <w:rFonts w:ascii="Arial" w:hAnsi="Arial" w:cs="Arial"/>
          <w:b/>
          <w:sz w:val="24"/>
          <w:szCs w:val="24"/>
          <w:u w:val="single"/>
        </w:rPr>
        <w:t>FACTS:</w:t>
      </w:r>
    </w:p>
    <w:p w14:paraId="505F30A6" w14:textId="60EE3D57" w:rsidR="00CD491D" w:rsidRPr="00A4020B" w:rsidRDefault="001800FE" w:rsidP="002F231C">
      <w:pPr>
        <w:spacing w:line="276" w:lineRule="auto"/>
        <w:jc w:val="both"/>
        <w:rPr>
          <w:rFonts w:ascii="Arial" w:hAnsi="Arial" w:cs="Arial"/>
          <w:b/>
          <w:sz w:val="24"/>
          <w:szCs w:val="24"/>
          <w:u w:val="single"/>
        </w:rPr>
      </w:pPr>
      <w:r w:rsidRPr="00523246">
        <w:rPr>
          <w:rFonts w:ascii="Arial" w:hAnsi="Arial" w:cs="Arial"/>
          <w:sz w:val="24"/>
          <w:szCs w:val="24"/>
        </w:rPr>
        <w:t>The question which arose in this appeal was whether</w:t>
      </w:r>
      <w:r w:rsidR="00191327">
        <w:rPr>
          <w:rFonts w:ascii="Arial" w:hAnsi="Arial" w:cs="Arial"/>
          <w:sz w:val="24"/>
          <w:szCs w:val="24"/>
        </w:rPr>
        <w:t xml:space="preserve"> </w:t>
      </w:r>
      <w:r w:rsidRPr="00523246">
        <w:rPr>
          <w:rFonts w:ascii="Arial" w:hAnsi="Arial" w:cs="Arial"/>
          <w:sz w:val="24"/>
          <w:szCs w:val="24"/>
        </w:rPr>
        <w:t>an alleged champertous agreement between the respondent co-operative</w:t>
      </w:r>
      <w:r w:rsidR="009F3307">
        <w:rPr>
          <w:rFonts w:ascii="Arial" w:hAnsi="Arial" w:cs="Arial"/>
          <w:sz w:val="24"/>
          <w:szCs w:val="24"/>
        </w:rPr>
        <w:t xml:space="preserve"> </w:t>
      </w:r>
      <w:r w:rsidRPr="00523246">
        <w:rPr>
          <w:rFonts w:ascii="Arial" w:hAnsi="Arial" w:cs="Arial"/>
          <w:sz w:val="24"/>
          <w:szCs w:val="24"/>
        </w:rPr>
        <w:t>and a third party to finance the respondent's action against a firm of accountants, the appellants</w:t>
      </w:r>
      <w:r w:rsidR="002F7E64">
        <w:rPr>
          <w:rFonts w:ascii="Arial" w:hAnsi="Arial" w:cs="Arial"/>
          <w:sz w:val="24"/>
          <w:szCs w:val="24"/>
        </w:rPr>
        <w:t>,</w:t>
      </w:r>
      <w:r w:rsidRPr="00523246">
        <w:rPr>
          <w:rFonts w:ascii="Arial" w:hAnsi="Arial" w:cs="Arial"/>
          <w:sz w:val="24"/>
          <w:szCs w:val="24"/>
        </w:rPr>
        <w:t xml:space="preserve"> may be relied upon by the appellants as a defence to the respondent's</w:t>
      </w:r>
      <w:r w:rsidR="00191327">
        <w:rPr>
          <w:rFonts w:ascii="Arial" w:hAnsi="Arial" w:cs="Arial"/>
          <w:sz w:val="24"/>
          <w:szCs w:val="24"/>
        </w:rPr>
        <w:t xml:space="preserve"> </w:t>
      </w:r>
      <w:r w:rsidRPr="00523246">
        <w:rPr>
          <w:rFonts w:ascii="Arial" w:hAnsi="Arial" w:cs="Arial"/>
          <w:sz w:val="24"/>
          <w:szCs w:val="24"/>
        </w:rPr>
        <w:t xml:space="preserve">claim. </w:t>
      </w:r>
    </w:p>
    <w:p w14:paraId="4B54DDFD" w14:textId="77777777" w:rsidR="00441097" w:rsidRDefault="001800FE" w:rsidP="002F231C">
      <w:pPr>
        <w:spacing w:line="276" w:lineRule="auto"/>
        <w:jc w:val="both"/>
        <w:rPr>
          <w:rFonts w:ascii="Arial" w:hAnsi="Arial" w:cs="Arial"/>
          <w:sz w:val="24"/>
          <w:szCs w:val="24"/>
        </w:rPr>
      </w:pPr>
      <w:r w:rsidRPr="00523246">
        <w:rPr>
          <w:rFonts w:ascii="Arial" w:hAnsi="Arial" w:cs="Arial"/>
          <w:sz w:val="24"/>
          <w:szCs w:val="24"/>
        </w:rPr>
        <w:t>The Court held that the fact that a litigant had entered into an unlawful agreement with a third party to</w:t>
      </w:r>
      <w:r w:rsidR="00191327">
        <w:rPr>
          <w:rFonts w:ascii="Arial" w:hAnsi="Arial" w:cs="Arial"/>
          <w:sz w:val="24"/>
          <w:szCs w:val="24"/>
        </w:rPr>
        <w:t xml:space="preserve"> </w:t>
      </w:r>
      <w:r w:rsidRPr="00523246">
        <w:rPr>
          <w:rFonts w:ascii="Arial" w:hAnsi="Arial" w:cs="Arial"/>
          <w:sz w:val="24"/>
          <w:szCs w:val="24"/>
        </w:rPr>
        <w:t>provide funds to finance his case is a matter extraneous to the dispute between the litigant and the</w:t>
      </w:r>
      <w:r w:rsidR="00191327">
        <w:rPr>
          <w:rFonts w:ascii="Arial" w:hAnsi="Arial" w:cs="Arial"/>
          <w:sz w:val="24"/>
          <w:szCs w:val="24"/>
        </w:rPr>
        <w:t xml:space="preserve"> </w:t>
      </w:r>
      <w:r w:rsidRPr="00523246">
        <w:rPr>
          <w:rFonts w:ascii="Arial" w:hAnsi="Arial" w:cs="Arial"/>
          <w:sz w:val="24"/>
          <w:szCs w:val="24"/>
        </w:rPr>
        <w:t>other party and was therefore irrelevant to the issues arising in the dispute, whatever the cause of action.</w:t>
      </w:r>
      <w:r w:rsidR="00191327">
        <w:rPr>
          <w:rFonts w:ascii="Arial" w:hAnsi="Arial" w:cs="Arial"/>
          <w:sz w:val="24"/>
          <w:szCs w:val="24"/>
        </w:rPr>
        <w:t xml:space="preserve"> </w:t>
      </w:r>
      <w:r w:rsidRPr="00FC5028">
        <w:rPr>
          <w:rFonts w:ascii="Arial" w:hAnsi="Arial" w:cs="Arial"/>
          <w:sz w:val="24"/>
          <w:szCs w:val="24"/>
          <w:u w:val="single"/>
        </w:rPr>
        <w:t>An agreement in terms of which a person provides a litigant with funds to prosecute an action in return for a</w:t>
      </w:r>
      <w:r w:rsidR="00DC00D5" w:rsidRPr="00FC5028">
        <w:rPr>
          <w:rFonts w:ascii="Arial" w:hAnsi="Arial" w:cs="Arial"/>
          <w:sz w:val="24"/>
          <w:szCs w:val="24"/>
          <w:u w:val="single"/>
        </w:rPr>
        <w:t xml:space="preserve"> </w:t>
      </w:r>
      <w:r w:rsidRPr="00FC5028">
        <w:rPr>
          <w:rFonts w:ascii="Arial" w:hAnsi="Arial" w:cs="Arial"/>
          <w:sz w:val="24"/>
          <w:szCs w:val="24"/>
          <w:u w:val="single"/>
        </w:rPr>
        <w:t>share of the proceeds of the action was not contrary to public policy or void</w:t>
      </w:r>
      <w:r w:rsidRPr="00523246">
        <w:rPr>
          <w:rFonts w:ascii="Arial" w:hAnsi="Arial" w:cs="Arial"/>
          <w:sz w:val="24"/>
          <w:szCs w:val="24"/>
        </w:rPr>
        <w:t>. Such agreements, called</w:t>
      </w:r>
      <w:r w:rsidR="00191327">
        <w:rPr>
          <w:rFonts w:ascii="Arial" w:hAnsi="Arial" w:cs="Arial"/>
          <w:sz w:val="24"/>
          <w:szCs w:val="24"/>
        </w:rPr>
        <w:t xml:space="preserve"> </w:t>
      </w:r>
      <w:r w:rsidRPr="00DF078A">
        <w:rPr>
          <w:rFonts w:ascii="Arial" w:hAnsi="Arial" w:cs="Arial"/>
          <w:i/>
          <w:sz w:val="24"/>
          <w:szCs w:val="24"/>
        </w:rPr>
        <w:t>pacta de quota litis</w:t>
      </w:r>
      <w:r w:rsidRPr="00523246">
        <w:rPr>
          <w:rFonts w:ascii="Arial" w:hAnsi="Arial" w:cs="Arial"/>
          <w:sz w:val="24"/>
          <w:szCs w:val="24"/>
        </w:rPr>
        <w:t>, were known to Roman and Roman-Dutch law and have been looked upon with</w:t>
      </w:r>
      <w:r w:rsidR="00191327">
        <w:rPr>
          <w:rFonts w:ascii="Arial" w:hAnsi="Arial" w:cs="Arial"/>
          <w:sz w:val="24"/>
          <w:szCs w:val="24"/>
        </w:rPr>
        <w:t xml:space="preserve"> </w:t>
      </w:r>
      <w:r w:rsidRPr="00523246">
        <w:rPr>
          <w:rFonts w:ascii="Arial" w:hAnsi="Arial" w:cs="Arial"/>
          <w:sz w:val="24"/>
          <w:szCs w:val="24"/>
        </w:rPr>
        <w:t>disfavour ever since the days of the Roman Empire. The reason for this was that they were considered to</w:t>
      </w:r>
      <w:r w:rsidR="00191327">
        <w:rPr>
          <w:rFonts w:ascii="Arial" w:hAnsi="Arial" w:cs="Arial"/>
          <w:sz w:val="24"/>
          <w:szCs w:val="24"/>
        </w:rPr>
        <w:t xml:space="preserve"> </w:t>
      </w:r>
      <w:r w:rsidRPr="00523246">
        <w:rPr>
          <w:rFonts w:ascii="Arial" w:hAnsi="Arial" w:cs="Arial"/>
          <w:sz w:val="24"/>
          <w:szCs w:val="24"/>
        </w:rPr>
        <w:t xml:space="preserve">encourage speculative litigation and consequently amounted to an abuse of the legal process. </w:t>
      </w:r>
    </w:p>
    <w:p w14:paraId="190DA487" w14:textId="0DB2A08A" w:rsidR="001800FE" w:rsidRPr="003241C9" w:rsidRDefault="001800FE" w:rsidP="002F231C">
      <w:pPr>
        <w:spacing w:line="276" w:lineRule="auto"/>
        <w:jc w:val="both"/>
        <w:rPr>
          <w:rFonts w:ascii="Arial" w:hAnsi="Arial" w:cs="Arial"/>
          <w:b/>
          <w:sz w:val="24"/>
          <w:szCs w:val="24"/>
          <w:u w:val="single"/>
        </w:rPr>
      </w:pPr>
      <w:r w:rsidRPr="00523246">
        <w:rPr>
          <w:rFonts w:ascii="Arial" w:hAnsi="Arial" w:cs="Arial"/>
          <w:sz w:val="24"/>
          <w:szCs w:val="24"/>
        </w:rPr>
        <w:t>From</w:t>
      </w:r>
      <w:r w:rsidR="00191327">
        <w:rPr>
          <w:rFonts w:ascii="Arial" w:hAnsi="Arial" w:cs="Arial"/>
          <w:sz w:val="24"/>
          <w:szCs w:val="24"/>
        </w:rPr>
        <w:t xml:space="preserve"> </w:t>
      </w:r>
      <w:r w:rsidRPr="00523246">
        <w:rPr>
          <w:rFonts w:ascii="Arial" w:hAnsi="Arial" w:cs="Arial"/>
          <w:sz w:val="24"/>
          <w:szCs w:val="24"/>
        </w:rPr>
        <w:t>the 19th century our law has often referred to such a contract as 'maintenance and champerty' and adopted</w:t>
      </w:r>
      <w:r w:rsidR="00F72B06">
        <w:rPr>
          <w:rFonts w:ascii="Arial" w:hAnsi="Arial" w:cs="Arial"/>
          <w:sz w:val="24"/>
          <w:szCs w:val="24"/>
        </w:rPr>
        <w:t xml:space="preserve"> </w:t>
      </w:r>
      <w:r w:rsidRPr="00523246">
        <w:rPr>
          <w:rFonts w:ascii="Arial" w:hAnsi="Arial" w:cs="Arial"/>
          <w:sz w:val="24"/>
          <w:szCs w:val="24"/>
        </w:rPr>
        <w:t>some of the rules of English law without attempting to reconcile these rules with the principles of Roman-</w:t>
      </w:r>
      <w:r w:rsidR="00F72B06">
        <w:rPr>
          <w:rFonts w:ascii="Arial" w:hAnsi="Arial" w:cs="Arial"/>
          <w:sz w:val="24"/>
          <w:szCs w:val="24"/>
        </w:rPr>
        <w:t xml:space="preserve"> </w:t>
      </w:r>
      <w:r w:rsidRPr="00523246">
        <w:rPr>
          <w:rFonts w:ascii="Arial" w:hAnsi="Arial" w:cs="Arial"/>
          <w:sz w:val="24"/>
          <w:szCs w:val="24"/>
        </w:rPr>
        <w:t>Dutch law. In English law, maintenance and champerty are two distinct concepts. Maintenance is the</w:t>
      </w:r>
      <w:r w:rsidR="00F72B06">
        <w:rPr>
          <w:rFonts w:ascii="Arial" w:hAnsi="Arial" w:cs="Arial"/>
          <w:sz w:val="24"/>
          <w:szCs w:val="24"/>
        </w:rPr>
        <w:t xml:space="preserve"> </w:t>
      </w:r>
      <w:r w:rsidRPr="00523246">
        <w:rPr>
          <w:rFonts w:ascii="Arial" w:hAnsi="Arial" w:cs="Arial"/>
          <w:sz w:val="24"/>
          <w:szCs w:val="24"/>
        </w:rPr>
        <w:t>improper assistance by one person of litigation conducted by another, in which the former has no legitimate</w:t>
      </w:r>
      <w:r w:rsidR="00F72B06">
        <w:rPr>
          <w:rFonts w:ascii="Arial" w:hAnsi="Arial" w:cs="Arial"/>
          <w:sz w:val="24"/>
          <w:szCs w:val="24"/>
        </w:rPr>
        <w:t xml:space="preserve"> </w:t>
      </w:r>
      <w:r w:rsidRPr="00523246">
        <w:rPr>
          <w:rFonts w:ascii="Arial" w:hAnsi="Arial" w:cs="Arial"/>
          <w:sz w:val="24"/>
          <w:szCs w:val="24"/>
        </w:rPr>
        <w:t xml:space="preserve">interest, without just cause or excuse. Champerty is an aggravated form of maintenance and </w:t>
      </w:r>
      <w:r w:rsidRPr="00523246">
        <w:rPr>
          <w:rFonts w:ascii="Arial" w:hAnsi="Arial" w:cs="Arial"/>
          <w:sz w:val="24"/>
          <w:szCs w:val="24"/>
        </w:rPr>
        <w:lastRenderedPageBreak/>
        <w:t>occurs when</w:t>
      </w:r>
      <w:r w:rsidR="00F72B06">
        <w:rPr>
          <w:rFonts w:ascii="Arial" w:hAnsi="Arial" w:cs="Arial"/>
          <w:sz w:val="24"/>
          <w:szCs w:val="24"/>
        </w:rPr>
        <w:t xml:space="preserve"> </w:t>
      </w:r>
      <w:r w:rsidRPr="00523246">
        <w:rPr>
          <w:rFonts w:ascii="Arial" w:hAnsi="Arial" w:cs="Arial"/>
          <w:sz w:val="24"/>
          <w:szCs w:val="24"/>
        </w:rPr>
        <w:t>the person maintaining another stipulates for a share of the proceeds of the action or suit. A number of</w:t>
      </w:r>
      <w:r w:rsidR="00F72B06">
        <w:rPr>
          <w:rFonts w:ascii="Arial" w:hAnsi="Arial" w:cs="Arial"/>
          <w:sz w:val="24"/>
          <w:szCs w:val="24"/>
        </w:rPr>
        <w:t xml:space="preserve"> </w:t>
      </w:r>
      <w:r w:rsidRPr="00523246">
        <w:rPr>
          <w:rFonts w:ascii="Arial" w:hAnsi="Arial" w:cs="Arial"/>
          <w:sz w:val="24"/>
          <w:szCs w:val="24"/>
        </w:rPr>
        <w:t>cases decided in South Africa in the last years of the 19th and the early part of the 20th century show that</w:t>
      </w:r>
      <w:r w:rsidR="00F72B06">
        <w:rPr>
          <w:rFonts w:ascii="Arial" w:hAnsi="Arial" w:cs="Arial"/>
          <w:sz w:val="24"/>
          <w:szCs w:val="24"/>
        </w:rPr>
        <w:t xml:space="preserve"> </w:t>
      </w:r>
      <w:r w:rsidRPr="00523246">
        <w:rPr>
          <w:rFonts w:ascii="Arial" w:hAnsi="Arial" w:cs="Arial"/>
          <w:sz w:val="24"/>
          <w:szCs w:val="24"/>
        </w:rPr>
        <w:t>the courts took an uncompromising view of agreements, and refused to entertain litigation following</w:t>
      </w:r>
      <w:r w:rsidR="00F72B06">
        <w:rPr>
          <w:rFonts w:ascii="Arial" w:hAnsi="Arial" w:cs="Arial"/>
          <w:sz w:val="24"/>
          <w:szCs w:val="24"/>
        </w:rPr>
        <w:t xml:space="preserve"> </w:t>
      </w:r>
      <w:r w:rsidRPr="00523246">
        <w:rPr>
          <w:rFonts w:ascii="Arial" w:hAnsi="Arial" w:cs="Arial"/>
          <w:sz w:val="24"/>
          <w:szCs w:val="24"/>
        </w:rPr>
        <w:t>on such agreements or to enforce them. However, it is clear that the Courts acknowledged one</w:t>
      </w:r>
      <w:r w:rsidR="00F72B06">
        <w:rPr>
          <w:rFonts w:ascii="Arial" w:hAnsi="Arial" w:cs="Arial"/>
          <w:sz w:val="24"/>
          <w:szCs w:val="24"/>
        </w:rPr>
        <w:t xml:space="preserve"> </w:t>
      </w:r>
      <w:r w:rsidRPr="00523246">
        <w:rPr>
          <w:rFonts w:ascii="Arial" w:hAnsi="Arial" w:cs="Arial"/>
          <w:sz w:val="24"/>
          <w:szCs w:val="24"/>
        </w:rPr>
        <w:t xml:space="preserve">exception. </w:t>
      </w:r>
      <w:r w:rsidRPr="00793205">
        <w:rPr>
          <w:rFonts w:ascii="Arial" w:hAnsi="Arial" w:cs="Arial"/>
          <w:sz w:val="24"/>
          <w:szCs w:val="24"/>
          <w:u w:val="single"/>
        </w:rPr>
        <w:t>It was accepted that if anyone, in good faith, gave financial assistance to a poor suitor and</w:t>
      </w:r>
      <w:r w:rsidR="003241C9" w:rsidRPr="00793205">
        <w:rPr>
          <w:rFonts w:ascii="Arial" w:hAnsi="Arial" w:cs="Arial"/>
          <w:sz w:val="24"/>
          <w:szCs w:val="24"/>
          <w:u w:val="single"/>
        </w:rPr>
        <w:t xml:space="preserve"> </w:t>
      </w:r>
      <w:r w:rsidRPr="00793205">
        <w:rPr>
          <w:rFonts w:ascii="Arial" w:hAnsi="Arial" w:cs="Arial"/>
          <w:sz w:val="24"/>
          <w:szCs w:val="24"/>
          <w:u w:val="single"/>
        </w:rPr>
        <w:t>thereby helped him to prosecute an action in return for a reasonable recompense or interest in the</w:t>
      </w:r>
      <w:r w:rsidR="00F72B06" w:rsidRPr="00793205">
        <w:rPr>
          <w:rFonts w:ascii="Arial" w:hAnsi="Arial" w:cs="Arial"/>
          <w:sz w:val="24"/>
          <w:szCs w:val="24"/>
          <w:u w:val="single"/>
        </w:rPr>
        <w:t xml:space="preserve"> </w:t>
      </w:r>
      <w:r w:rsidRPr="00793205">
        <w:rPr>
          <w:rFonts w:ascii="Arial" w:hAnsi="Arial" w:cs="Arial"/>
          <w:sz w:val="24"/>
          <w:szCs w:val="24"/>
          <w:u w:val="single"/>
        </w:rPr>
        <w:t>suit, the agreement would not be unlawful or void.</w:t>
      </w:r>
      <w:r w:rsidRPr="007E264F">
        <w:rPr>
          <w:rFonts w:ascii="Arial" w:hAnsi="Arial" w:cs="Arial"/>
          <w:sz w:val="24"/>
          <w:szCs w:val="24"/>
        </w:rPr>
        <w:t xml:space="preserve"> Although the number of reported cases concerned</w:t>
      </w:r>
      <w:r w:rsidR="00F72B06" w:rsidRPr="007E264F">
        <w:rPr>
          <w:rFonts w:ascii="Arial" w:hAnsi="Arial" w:cs="Arial"/>
          <w:sz w:val="24"/>
          <w:szCs w:val="24"/>
        </w:rPr>
        <w:t xml:space="preserve"> </w:t>
      </w:r>
      <w:r w:rsidRPr="007E264F">
        <w:rPr>
          <w:rFonts w:ascii="Arial" w:hAnsi="Arial" w:cs="Arial"/>
          <w:sz w:val="24"/>
          <w:szCs w:val="24"/>
        </w:rPr>
        <w:t>with champertous agreements diminished, courts have still adhered to the view that generally they are</w:t>
      </w:r>
      <w:r w:rsidR="00F72B06" w:rsidRPr="007E264F">
        <w:rPr>
          <w:rFonts w:ascii="Arial" w:hAnsi="Arial" w:cs="Arial"/>
          <w:sz w:val="24"/>
          <w:szCs w:val="24"/>
        </w:rPr>
        <w:t xml:space="preserve"> </w:t>
      </w:r>
      <w:r w:rsidRPr="007E264F">
        <w:rPr>
          <w:rFonts w:ascii="Arial" w:hAnsi="Arial" w:cs="Arial"/>
          <w:sz w:val="24"/>
          <w:szCs w:val="24"/>
        </w:rPr>
        <w:t>unlawful and that litigation pursuant to such agreements should not be entertained. After the South</w:t>
      </w:r>
      <w:r w:rsidR="00F72B06" w:rsidRPr="007E264F">
        <w:rPr>
          <w:rFonts w:ascii="Arial" w:hAnsi="Arial" w:cs="Arial"/>
          <w:sz w:val="24"/>
          <w:szCs w:val="24"/>
        </w:rPr>
        <w:t xml:space="preserve"> </w:t>
      </w:r>
      <w:r w:rsidRPr="007E264F">
        <w:rPr>
          <w:rFonts w:ascii="Arial" w:hAnsi="Arial" w:cs="Arial"/>
          <w:sz w:val="24"/>
          <w:szCs w:val="24"/>
        </w:rPr>
        <w:t>African Law Commission investigated and reported on the question</w:t>
      </w:r>
      <w:r w:rsidR="002E217B">
        <w:rPr>
          <w:rFonts w:ascii="Arial" w:hAnsi="Arial" w:cs="Arial"/>
          <w:sz w:val="24"/>
          <w:szCs w:val="24"/>
        </w:rPr>
        <w:t xml:space="preserve"> </w:t>
      </w:r>
      <w:r w:rsidRPr="007E264F">
        <w:rPr>
          <w:rFonts w:ascii="Arial" w:hAnsi="Arial" w:cs="Arial"/>
          <w:sz w:val="24"/>
          <w:szCs w:val="24"/>
        </w:rPr>
        <w:t>our Legislature followed the English</w:t>
      </w:r>
      <w:r w:rsidR="003241C9">
        <w:rPr>
          <w:rFonts w:ascii="Arial" w:hAnsi="Arial" w:cs="Arial"/>
          <w:sz w:val="24"/>
          <w:szCs w:val="24"/>
        </w:rPr>
        <w:t xml:space="preserve"> </w:t>
      </w:r>
      <w:r w:rsidRPr="007E264F">
        <w:rPr>
          <w:rFonts w:ascii="Arial" w:hAnsi="Arial" w:cs="Arial"/>
          <w:sz w:val="24"/>
          <w:szCs w:val="24"/>
        </w:rPr>
        <w:t>example of permitting contingency fee arrangements - 'no win, no fees' and increased fees in case of</w:t>
      </w:r>
      <w:r w:rsidR="00F72B06" w:rsidRPr="007E264F">
        <w:rPr>
          <w:rFonts w:ascii="Arial" w:hAnsi="Arial" w:cs="Arial"/>
          <w:sz w:val="24"/>
          <w:szCs w:val="24"/>
        </w:rPr>
        <w:t xml:space="preserve"> </w:t>
      </w:r>
      <w:r w:rsidRPr="007E264F">
        <w:rPr>
          <w:rFonts w:ascii="Arial" w:hAnsi="Arial" w:cs="Arial"/>
          <w:sz w:val="24"/>
          <w:szCs w:val="24"/>
        </w:rPr>
        <w:t>success - but subject to strict controls. As in England this represented a watershed in public policy and was</w:t>
      </w:r>
      <w:r w:rsidR="00F72B06" w:rsidRPr="007E264F">
        <w:rPr>
          <w:rFonts w:ascii="Arial" w:hAnsi="Arial" w:cs="Arial"/>
          <w:sz w:val="24"/>
          <w:szCs w:val="24"/>
        </w:rPr>
        <w:t xml:space="preserve"> </w:t>
      </w:r>
      <w:r w:rsidRPr="007E264F">
        <w:rPr>
          <w:rFonts w:ascii="Arial" w:hAnsi="Arial" w:cs="Arial"/>
          <w:sz w:val="24"/>
          <w:szCs w:val="24"/>
        </w:rPr>
        <w:t>brought about by the view that it is in the public interest that litigants be able to take their justiciable disputes</w:t>
      </w:r>
      <w:r w:rsidR="00F72B06" w:rsidRPr="007E264F">
        <w:rPr>
          <w:rFonts w:ascii="Arial" w:hAnsi="Arial" w:cs="Arial"/>
          <w:sz w:val="24"/>
          <w:szCs w:val="24"/>
        </w:rPr>
        <w:t xml:space="preserve"> </w:t>
      </w:r>
      <w:r w:rsidRPr="007E264F">
        <w:rPr>
          <w:rFonts w:ascii="Arial" w:hAnsi="Arial" w:cs="Arial"/>
          <w:sz w:val="24"/>
          <w:szCs w:val="24"/>
        </w:rPr>
        <w:t>to court for adjudication. In the Court’s view, it must be recognised that the civil justice system is strong</w:t>
      </w:r>
      <w:r w:rsidR="00F72B06" w:rsidRPr="007E264F">
        <w:rPr>
          <w:rFonts w:ascii="Arial" w:hAnsi="Arial" w:cs="Arial"/>
          <w:sz w:val="24"/>
          <w:szCs w:val="24"/>
        </w:rPr>
        <w:t xml:space="preserve"> </w:t>
      </w:r>
      <w:r w:rsidRPr="007E264F">
        <w:rPr>
          <w:rFonts w:ascii="Arial" w:hAnsi="Arial" w:cs="Arial"/>
          <w:sz w:val="24"/>
          <w:szCs w:val="24"/>
        </w:rPr>
        <w:t>enough to withstand the perceived abuses which could arise if civil litigation is made possible by</w:t>
      </w:r>
      <w:r w:rsidR="003241C9">
        <w:rPr>
          <w:rFonts w:ascii="Arial" w:hAnsi="Arial" w:cs="Arial"/>
          <w:sz w:val="24"/>
          <w:szCs w:val="24"/>
        </w:rPr>
        <w:t xml:space="preserve"> </w:t>
      </w:r>
      <w:r w:rsidRPr="007E264F">
        <w:rPr>
          <w:rFonts w:ascii="Arial" w:hAnsi="Arial" w:cs="Arial"/>
          <w:sz w:val="24"/>
          <w:szCs w:val="24"/>
        </w:rPr>
        <w:t>financial support given by persons who provide such support in return for a share of the proceeds.</w:t>
      </w:r>
    </w:p>
    <w:p w14:paraId="0D9E474D" w14:textId="330E6154" w:rsidR="00AE5AA8" w:rsidRDefault="00A61A1E" w:rsidP="002F231C">
      <w:pPr>
        <w:pStyle w:val="NoSpacing"/>
        <w:spacing w:line="276" w:lineRule="auto"/>
        <w:jc w:val="both"/>
        <w:rPr>
          <w:rFonts w:ascii="Arial" w:hAnsi="Arial" w:cs="Arial"/>
          <w:sz w:val="24"/>
          <w:szCs w:val="24"/>
        </w:rPr>
      </w:pPr>
      <w:r w:rsidRPr="00DC28C9">
        <w:rPr>
          <w:rFonts w:ascii="Arial" w:hAnsi="Arial" w:cs="Arial"/>
          <w:sz w:val="24"/>
          <w:szCs w:val="24"/>
          <w:u w:val="single"/>
        </w:rPr>
        <w:t>Accordingly,</w:t>
      </w:r>
      <w:r w:rsidR="001800FE" w:rsidRPr="00DC28C9">
        <w:rPr>
          <w:rFonts w:ascii="Arial" w:hAnsi="Arial" w:cs="Arial"/>
          <w:sz w:val="24"/>
          <w:szCs w:val="24"/>
          <w:u w:val="single"/>
        </w:rPr>
        <w:t xml:space="preserve"> it was held that an agreement in terms of which a stranger to a lawsuit advances funds to</w:t>
      </w:r>
      <w:r w:rsidR="00F72B06" w:rsidRPr="00DC28C9">
        <w:rPr>
          <w:rFonts w:ascii="Arial" w:hAnsi="Arial" w:cs="Arial"/>
          <w:sz w:val="24"/>
          <w:szCs w:val="24"/>
          <w:u w:val="single"/>
        </w:rPr>
        <w:t xml:space="preserve"> </w:t>
      </w:r>
      <w:r w:rsidR="001800FE" w:rsidRPr="00DC28C9">
        <w:rPr>
          <w:rFonts w:ascii="Arial" w:hAnsi="Arial" w:cs="Arial"/>
          <w:sz w:val="24"/>
          <w:szCs w:val="24"/>
          <w:u w:val="single"/>
        </w:rPr>
        <w:t>a litigant on condition that his remuneration, in case the litigant wins the action, is to be part of the</w:t>
      </w:r>
      <w:r w:rsidR="00F72B06" w:rsidRPr="00DC28C9">
        <w:rPr>
          <w:rFonts w:ascii="Arial" w:hAnsi="Arial" w:cs="Arial"/>
          <w:sz w:val="24"/>
          <w:szCs w:val="24"/>
          <w:u w:val="single"/>
        </w:rPr>
        <w:t xml:space="preserve"> </w:t>
      </w:r>
      <w:r w:rsidR="001800FE" w:rsidRPr="00DC28C9">
        <w:rPr>
          <w:rFonts w:ascii="Arial" w:hAnsi="Arial" w:cs="Arial"/>
          <w:sz w:val="24"/>
          <w:szCs w:val="24"/>
          <w:u w:val="single"/>
        </w:rPr>
        <w:t>proceeds of the suit, is not contrary to public policy.</w:t>
      </w:r>
      <w:r w:rsidR="001800FE" w:rsidRPr="007E264F">
        <w:rPr>
          <w:rFonts w:ascii="Arial" w:hAnsi="Arial" w:cs="Arial"/>
          <w:sz w:val="24"/>
          <w:szCs w:val="24"/>
        </w:rPr>
        <w:t xml:space="preserve"> Even if it was contrary to public policy, the illegality</w:t>
      </w:r>
      <w:r w:rsidR="00F72B06" w:rsidRPr="007E264F">
        <w:rPr>
          <w:rFonts w:ascii="Arial" w:hAnsi="Arial" w:cs="Arial"/>
          <w:sz w:val="24"/>
          <w:szCs w:val="24"/>
        </w:rPr>
        <w:t xml:space="preserve"> </w:t>
      </w:r>
      <w:r w:rsidR="001800FE" w:rsidRPr="007E264F">
        <w:rPr>
          <w:rFonts w:ascii="Arial" w:hAnsi="Arial" w:cs="Arial"/>
          <w:sz w:val="24"/>
          <w:szCs w:val="24"/>
        </w:rPr>
        <w:t>of such an agreement or an attorney's contingency fee agreement would not be a defence in the action.</w:t>
      </w:r>
      <w:r w:rsidR="008D526B">
        <w:rPr>
          <w:rFonts w:ascii="Arial" w:hAnsi="Arial" w:cs="Arial"/>
          <w:sz w:val="24"/>
          <w:szCs w:val="24"/>
        </w:rPr>
        <w:t xml:space="preserve"> </w:t>
      </w:r>
      <w:r w:rsidR="001800FE" w:rsidRPr="007E264F">
        <w:rPr>
          <w:rFonts w:ascii="Arial" w:hAnsi="Arial" w:cs="Arial"/>
          <w:sz w:val="24"/>
          <w:szCs w:val="24"/>
        </w:rPr>
        <w:t>However, litigation pursuant to such an agreement may constitute an abuse of the process that the</w:t>
      </w:r>
      <w:r w:rsidR="00F72B06" w:rsidRPr="007E264F">
        <w:rPr>
          <w:rFonts w:ascii="Arial" w:hAnsi="Arial" w:cs="Arial"/>
          <w:sz w:val="24"/>
          <w:szCs w:val="24"/>
        </w:rPr>
        <w:t xml:space="preserve"> </w:t>
      </w:r>
      <w:r w:rsidR="001800FE" w:rsidRPr="007E264F">
        <w:rPr>
          <w:rFonts w:ascii="Arial" w:hAnsi="Arial" w:cs="Arial"/>
          <w:sz w:val="24"/>
          <w:szCs w:val="24"/>
        </w:rPr>
        <w:t>Court may prevent in appropriate circumstances notwithstanding the right of access to the courts</w:t>
      </w:r>
      <w:r w:rsidR="00F72B06" w:rsidRPr="007E264F">
        <w:rPr>
          <w:rFonts w:ascii="Arial" w:hAnsi="Arial" w:cs="Arial"/>
          <w:sz w:val="24"/>
          <w:szCs w:val="24"/>
        </w:rPr>
        <w:t xml:space="preserve"> </w:t>
      </w:r>
      <w:r w:rsidR="001800FE" w:rsidRPr="007E264F">
        <w:rPr>
          <w:rFonts w:ascii="Arial" w:hAnsi="Arial" w:cs="Arial"/>
          <w:sz w:val="24"/>
          <w:szCs w:val="24"/>
        </w:rPr>
        <w:t>guaranteed by s 34 of the Constitution. An agreement in terms of which a person provides funds to enable a</w:t>
      </w:r>
      <w:r w:rsidR="00F72B06" w:rsidRPr="007E264F">
        <w:rPr>
          <w:rFonts w:ascii="Arial" w:hAnsi="Arial" w:cs="Arial"/>
          <w:sz w:val="24"/>
          <w:szCs w:val="24"/>
        </w:rPr>
        <w:t xml:space="preserve"> </w:t>
      </w:r>
      <w:r w:rsidR="001800FE" w:rsidRPr="007E264F">
        <w:rPr>
          <w:rFonts w:ascii="Arial" w:hAnsi="Arial" w:cs="Arial"/>
          <w:sz w:val="24"/>
          <w:szCs w:val="24"/>
        </w:rPr>
        <w:t>litigant to prosecute an action in return for a share of the proceeds may be relevant in the context of</w:t>
      </w:r>
      <w:r w:rsidR="008D526B">
        <w:rPr>
          <w:rFonts w:ascii="Arial" w:hAnsi="Arial" w:cs="Arial"/>
          <w:sz w:val="24"/>
          <w:szCs w:val="24"/>
        </w:rPr>
        <w:t xml:space="preserve"> </w:t>
      </w:r>
      <w:r w:rsidR="001800FE" w:rsidRPr="007E264F">
        <w:rPr>
          <w:rFonts w:ascii="Arial" w:hAnsi="Arial" w:cs="Arial"/>
          <w:sz w:val="24"/>
          <w:szCs w:val="24"/>
        </w:rPr>
        <w:t>abuse of process.</w:t>
      </w:r>
    </w:p>
    <w:p w14:paraId="42D96AC5" w14:textId="29E1E574" w:rsidR="00156100" w:rsidRPr="003D0DF7" w:rsidRDefault="00156100" w:rsidP="002F231C">
      <w:pPr>
        <w:pStyle w:val="NoSpacing"/>
        <w:spacing w:line="276" w:lineRule="auto"/>
        <w:jc w:val="both"/>
        <w:rPr>
          <w:rFonts w:ascii="Arial" w:hAnsi="Arial" w:cs="Arial"/>
          <w:sz w:val="16"/>
          <w:szCs w:val="16"/>
        </w:rPr>
      </w:pPr>
    </w:p>
    <w:p w14:paraId="5A2C5D78" w14:textId="173E5A1B" w:rsidR="00156100" w:rsidRPr="008E6D13" w:rsidRDefault="00156100" w:rsidP="002F231C">
      <w:pPr>
        <w:pStyle w:val="NoSpacing"/>
        <w:spacing w:line="276" w:lineRule="auto"/>
        <w:jc w:val="both"/>
        <w:rPr>
          <w:rFonts w:ascii="Arial" w:hAnsi="Arial" w:cs="Arial"/>
          <w:b/>
          <w:sz w:val="24"/>
          <w:szCs w:val="24"/>
          <w:u w:val="single"/>
        </w:rPr>
      </w:pPr>
      <w:r w:rsidRPr="008E6D13">
        <w:rPr>
          <w:rFonts w:ascii="Arial" w:hAnsi="Arial" w:cs="Arial"/>
          <w:b/>
          <w:sz w:val="24"/>
          <w:szCs w:val="24"/>
          <w:u w:val="single"/>
        </w:rPr>
        <w:t>PRINCIPLE/S:</w:t>
      </w:r>
    </w:p>
    <w:p w14:paraId="4E138284" w14:textId="77777777" w:rsidR="00156100" w:rsidRPr="003D0DF7" w:rsidRDefault="00156100" w:rsidP="002F231C">
      <w:pPr>
        <w:pStyle w:val="NoSpacing"/>
        <w:spacing w:line="276" w:lineRule="auto"/>
        <w:jc w:val="both"/>
        <w:rPr>
          <w:rFonts w:ascii="Arial" w:hAnsi="Arial" w:cs="Arial"/>
          <w:sz w:val="16"/>
          <w:szCs w:val="16"/>
        </w:rPr>
      </w:pPr>
    </w:p>
    <w:p w14:paraId="44BBE687" w14:textId="77777777" w:rsidR="001800FE" w:rsidRPr="007E264F" w:rsidRDefault="001800FE" w:rsidP="002F231C">
      <w:pPr>
        <w:pStyle w:val="NoSpacing"/>
        <w:spacing w:line="276" w:lineRule="auto"/>
        <w:jc w:val="both"/>
        <w:rPr>
          <w:rFonts w:ascii="Arial" w:hAnsi="Arial" w:cs="Arial"/>
          <w:sz w:val="24"/>
          <w:szCs w:val="24"/>
        </w:rPr>
      </w:pPr>
      <w:r w:rsidRPr="007E264F">
        <w:rPr>
          <w:rFonts w:ascii="Arial" w:hAnsi="Arial" w:cs="Arial"/>
          <w:sz w:val="24"/>
          <w:szCs w:val="24"/>
        </w:rPr>
        <w:t>In summary:</w:t>
      </w:r>
    </w:p>
    <w:p w14:paraId="29D10627" w14:textId="57F2FC43" w:rsidR="001800FE" w:rsidRPr="007E264F" w:rsidRDefault="001800FE" w:rsidP="002F231C">
      <w:pPr>
        <w:pStyle w:val="NoSpacing"/>
        <w:spacing w:line="276" w:lineRule="auto"/>
        <w:jc w:val="both"/>
        <w:rPr>
          <w:rFonts w:ascii="Arial" w:hAnsi="Arial" w:cs="Arial"/>
          <w:sz w:val="24"/>
          <w:szCs w:val="24"/>
        </w:rPr>
      </w:pPr>
      <w:r w:rsidRPr="007E264F">
        <w:rPr>
          <w:rFonts w:ascii="Arial" w:hAnsi="Arial" w:cs="Arial"/>
          <w:sz w:val="24"/>
          <w:szCs w:val="24"/>
        </w:rPr>
        <w:t>- (1) an agreement in terms of which a person provides a litigant with funds to prosecute an</w:t>
      </w:r>
      <w:r w:rsidR="00AE5AA8" w:rsidRPr="007E264F">
        <w:rPr>
          <w:rFonts w:ascii="Arial" w:hAnsi="Arial" w:cs="Arial"/>
          <w:sz w:val="24"/>
          <w:szCs w:val="24"/>
        </w:rPr>
        <w:t xml:space="preserve"> </w:t>
      </w:r>
      <w:r w:rsidRPr="007E264F">
        <w:rPr>
          <w:rFonts w:ascii="Arial" w:hAnsi="Arial" w:cs="Arial"/>
          <w:sz w:val="24"/>
          <w:szCs w:val="24"/>
        </w:rPr>
        <w:t>action in return for a share of the proceeds of the action is not contrary to public policy or void;</w:t>
      </w:r>
    </w:p>
    <w:p w14:paraId="77B21162" w14:textId="45EB0162" w:rsidR="001F1710" w:rsidRDefault="001800FE" w:rsidP="002F231C">
      <w:pPr>
        <w:pStyle w:val="NoSpacing"/>
        <w:spacing w:line="276" w:lineRule="auto"/>
        <w:jc w:val="both"/>
        <w:rPr>
          <w:rFonts w:ascii="Arial" w:hAnsi="Arial" w:cs="Arial"/>
          <w:sz w:val="24"/>
          <w:szCs w:val="24"/>
        </w:rPr>
      </w:pPr>
      <w:r w:rsidRPr="007E264F">
        <w:rPr>
          <w:rFonts w:ascii="Arial" w:hAnsi="Arial" w:cs="Arial"/>
          <w:sz w:val="24"/>
          <w:szCs w:val="24"/>
        </w:rPr>
        <w:t>- (2) the illegality of such an agreement or an attorney's contingency fee agreement would not be</w:t>
      </w:r>
      <w:r w:rsidR="00AE5AA8" w:rsidRPr="007E264F">
        <w:rPr>
          <w:rFonts w:ascii="Arial" w:hAnsi="Arial" w:cs="Arial"/>
          <w:sz w:val="24"/>
          <w:szCs w:val="24"/>
        </w:rPr>
        <w:t xml:space="preserve"> </w:t>
      </w:r>
      <w:r w:rsidRPr="007E264F">
        <w:rPr>
          <w:rFonts w:ascii="Arial" w:hAnsi="Arial" w:cs="Arial"/>
          <w:sz w:val="24"/>
          <w:szCs w:val="24"/>
        </w:rPr>
        <w:t>a defence in the action;</w:t>
      </w:r>
    </w:p>
    <w:p w14:paraId="47F22C2A" w14:textId="1A48736B" w:rsidR="00B42F3F" w:rsidRDefault="001800FE" w:rsidP="002F231C">
      <w:pPr>
        <w:pStyle w:val="NoSpacing"/>
        <w:spacing w:line="276" w:lineRule="auto"/>
        <w:jc w:val="both"/>
        <w:rPr>
          <w:rFonts w:ascii="Arial" w:hAnsi="Arial" w:cs="Arial"/>
          <w:sz w:val="24"/>
          <w:szCs w:val="24"/>
        </w:rPr>
      </w:pPr>
      <w:r w:rsidRPr="007E264F">
        <w:rPr>
          <w:rFonts w:ascii="Arial" w:hAnsi="Arial" w:cs="Arial"/>
          <w:sz w:val="24"/>
          <w:szCs w:val="24"/>
        </w:rPr>
        <w:t>- (3) litigation pursuant to such an agreement may constitute an abuse of the process which in</w:t>
      </w:r>
      <w:r w:rsidR="00AE5AA8" w:rsidRPr="007E264F">
        <w:rPr>
          <w:rFonts w:ascii="Arial" w:hAnsi="Arial" w:cs="Arial"/>
          <w:sz w:val="24"/>
          <w:szCs w:val="24"/>
        </w:rPr>
        <w:t xml:space="preserve"> </w:t>
      </w:r>
      <w:r w:rsidRPr="007E264F">
        <w:rPr>
          <w:rFonts w:ascii="Arial" w:hAnsi="Arial" w:cs="Arial"/>
          <w:sz w:val="24"/>
          <w:szCs w:val="24"/>
        </w:rPr>
        <w:t>appropriate circumstances a court may prevent notwithstanding a litigant's right of access to the courts</w:t>
      </w:r>
      <w:r w:rsidR="009B3D04" w:rsidRPr="007E264F">
        <w:rPr>
          <w:rFonts w:ascii="Arial" w:hAnsi="Arial" w:cs="Arial"/>
          <w:sz w:val="24"/>
          <w:szCs w:val="24"/>
        </w:rPr>
        <w:t xml:space="preserve"> </w:t>
      </w:r>
      <w:r w:rsidRPr="007E264F">
        <w:rPr>
          <w:rFonts w:ascii="Arial" w:hAnsi="Arial" w:cs="Arial"/>
          <w:sz w:val="24"/>
          <w:szCs w:val="24"/>
        </w:rPr>
        <w:t>enshrined in s 34 of the Constitution.</w:t>
      </w:r>
    </w:p>
    <w:p w14:paraId="46D3A40B" w14:textId="64A7745D" w:rsidR="009B3D04" w:rsidRPr="002440A5" w:rsidRDefault="007709CE" w:rsidP="002F231C">
      <w:pPr>
        <w:spacing w:line="276" w:lineRule="auto"/>
        <w:jc w:val="both"/>
        <w:rPr>
          <w:rFonts w:ascii="Arial" w:hAnsi="Arial" w:cs="Arial"/>
          <w:sz w:val="24"/>
          <w:szCs w:val="24"/>
        </w:rPr>
      </w:pPr>
      <w:r w:rsidRPr="0085573D">
        <w:rPr>
          <w:rFonts w:ascii="Arial" w:eastAsiaTheme="minorHAnsi" w:hAnsi="Arial" w:cs="Arial"/>
          <w:b/>
          <w:noProof/>
          <w:sz w:val="24"/>
          <w:szCs w:val="24"/>
        </w:rPr>
        <w:lastRenderedPageBreak/>
        <mc:AlternateContent>
          <mc:Choice Requires="wps">
            <w:drawing>
              <wp:anchor distT="45720" distB="45720" distL="114300" distR="114300" simplePos="0" relativeHeight="251665408" behindDoc="0" locked="0" layoutInCell="1" allowOverlap="1" wp14:anchorId="6DB07853" wp14:editId="7FD837D8">
                <wp:simplePos x="0" y="0"/>
                <wp:positionH relativeFrom="margin">
                  <wp:posOffset>-152400</wp:posOffset>
                </wp:positionH>
                <wp:positionV relativeFrom="paragraph">
                  <wp:posOffset>361950</wp:posOffset>
                </wp:positionV>
                <wp:extent cx="6477000" cy="7096125"/>
                <wp:effectExtent l="0" t="0" r="19050"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7096125"/>
                        </a:xfrm>
                        <a:prstGeom prst="rect">
                          <a:avLst/>
                        </a:prstGeom>
                        <a:solidFill>
                          <a:srgbClr val="FFFFFF"/>
                        </a:solidFill>
                        <a:ln w="9525">
                          <a:solidFill>
                            <a:srgbClr val="000000"/>
                          </a:solidFill>
                          <a:miter lim="800000"/>
                          <a:headEnd/>
                          <a:tailEnd/>
                        </a:ln>
                      </wps:spPr>
                      <wps:txbx>
                        <w:txbxContent>
                          <w:p w14:paraId="20638D73" w14:textId="77777777" w:rsidR="009B0769" w:rsidRPr="009042A0" w:rsidRDefault="009B0769" w:rsidP="009B0769">
                            <w:pPr>
                              <w:spacing w:after="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1093340C" w14:textId="688B1609" w:rsidR="007709CE" w:rsidRPr="005A74C4" w:rsidRDefault="004139BA" w:rsidP="007709CE">
                            <w:pPr>
                              <w:spacing w:after="0" w:line="276" w:lineRule="auto"/>
                              <w:jc w:val="both"/>
                              <w:rPr>
                                <w:rFonts w:ascii="Times New Roman" w:hAnsi="Times New Roman" w:cs="Times New Roman"/>
                                <w:i/>
                                <w:sz w:val="22"/>
                                <w:szCs w:val="22"/>
                                <w:u w:val="single"/>
                              </w:rPr>
                            </w:pPr>
                            <w:r>
                              <w:rPr>
                                <w:rFonts w:ascii="Times New Roman" w:hAnsi="Times New Roman" w:cs="Times New Roman"/>
                                <w:b/>
                                <w:i/>
                                <w:sz w:val="22"/>
                                <w:szCs w:val="22"/>
                              </w:rPr>
                              <w:t>5</w:t>
                            </w:r>
                            <w:r w:rsidR="00004A01">
                              <w:rPr>
                                <w:rFonts w:ascii="Times New Roman" w:hAnsi="Times New Roman" w:cs="Times New Roman"/>
                                <w:b/>
                                <w:i/>
                                <w:sz w:val="22"/>
                                <w:szCs w:val="22"/>
                              </w:rPr>
                              <w:t>2</w:t>
                            </w:r>
                            <w:r w:rsidR="009B0769">
                              <w:rPr>
                                <w:rFonts w:ascii="Times New Roman" w:hAnsi="Times New Roman" w:cs="Times New Roman"/>
                                <w:b/>
                                <w:i/>
                                <w:sz w:val="22"/>
                                <w:szCs w:val="22"/>
                              </w:rPr>
                              <w:t>H-</w:t>
                            </w:r>
                            <w:r>
                              <w:rPr>
                                <w:rFonts w:ascii="Times New Roman" w:hAnsi="Times New Roman" w:cs="Times New Roman"/>
                                <w:b/>
                                <w:i/>
                                <w:sz w:val="22"/>
                                <w:szCs w:val="22"/>
                              </w:rPr>
                              <w:t>53</w:t>
                            </w:r>
                            <w:r w:rsidR="009B0769">
                              <w:rPr>
                                <w:rFonts w:ascii="Times New Roman" w:hAnsi="Times New Roman" w:cs="Times New Roman"/>
                                <w:b/>
                                <w:i/>
                                <w:sz w:val="22"/>
                                <w:szCs w:val="22"/>
                              </w:rPr>
                              <w:t>F</w:t>
                            </w:r>
                            <w:r w:rsidR="009B0769" w:rsidRPr="009042A0">
                              <w:rPr>
                                <w:rFonts w:ascii="Times New Roman" w:hAnsi="Times New Roman" w:cs="Times New Roman"/>
                                <w:b/>
                                <w:i/>
                                <w:sz w:val="22"/>
                                <w:szCs w:val="22"/>
                              </w:rPr>
                              <w:t>:</w:t>
                            </w:r>
                            <w:r w:rsidR="009B0769" w:rsidRPr="009042A0">
                              <w:rPr>
                                <w:rFonts w:ascii="Times New Roman" w:hAnsi="Times New Roman" w:cs="Times New Roman"/>
                                <w:i/>
                                <w:sz w:val="22"/>
                                <w:szCs w:val="22"/>
                              </w:rPr>
                              <w:t xml:space="preserve"> </w:t>
                            </w:r>
                            <w:r w:rsidR="00165D3F" w:rsidRPr="00165D3F">
                              <w:rPr>
                                <w:rFonts w:ascii="Times New Roman" w:hAnsi="Times New Roman" w:cs="Times New Roman"/>
                                <w:i/>
                                <w:sz w:val="22"/>
                                <w:szCs w:val="22"/>
                              </w:rPr>
                              <w:t>The applicant, together with the second to seventh respondents, were the accused in a criminal trial pending before the High Court. The charges related to certain financial activities conducted by the accused or companies associated with them. These activities had also resulted in a number of civil cases before the civil courts. In an application for the permanent stay of the prosecution, the applicant alleged that his constitutional rights and those of his co-accused to be presumed innocent had been violated; that their right to a fair trial, and their right of appeal or review in terms of s 35(3)</w:t>
                            </w:r>
                            <w:r w:rsidR="00165D3F" w:rsidRPr="00165D3F">
                              <w:rPr>
                                <w:rFonts w:ascii="Times New Roman" w:hAnsi="Times New Roman" w:cs="Times New Roman"/>
                                <w:i/>
                                <w:iCs/>
                                <w:sz w:val="22"/>
                                <w:szCs w:val="22"/>
                              </w:rPr>
                              <w:t>(o)</w:t>
                            </w:r>
                            <w:r w:rsidR="00165D3F" w:rsidRPr="00165D3F">
                              <w:rPr>
                                <w:rFonts w:ascii="Times New Roman" w:hAnsi="Times New Roman" w:cs="Times New Roman"/>
                                <w:i/>
                                <w:sz w:val="22"/>
                                <w:szCs w:val="22"/>
                              </w:rPr>
                              <w:t xml:space="preserve"> of the Constitution of the Republic of South Africa, 1996, had been violated by the pronouncements made in the judgments referred to above. </w:t>
                            </w:r>
                            <w:r w:rsidR="00165D3F" w:rsidRPr="00004A01">
                              <w:rPr>
                                <w:rFonts w:ascii="Times New Roman" w:hAnsi="Times New Roman" w:cs="Times New Roman"/>
                                <w:i/>
                                <w:sz w:val="22"/>
                                <w:szCs w:val="22"/>
                                <w:u w:val="single"/>
                              </w:rPr>
                              <w:t xml:space="preserve">It was contended that they would therefore not receive a fair trial in the impending criminal case against them, and therefore that this court should issue an </w:t>
                            </w:r>
                            <w:r w:rsidR="00165D3F" w:rsidRPr="00165D3F">
                              <w:rPr>
                                <w:rFonts w:ascii="Times New Roman" w:hAnsi="Times New Roman" w:cs="Times New Roman"/>
                                <w:i/>
                                <w:sz w:val="22"/>
                                <w:szCs w:val="22"/>
                                <w:u w:val="single"/>
                              </w:rPr>
                              <w:t>order that their prosecution be permanently stayed. It was further contended that the trial judge would be biased against the accused as a result of the pronouncements made by the various courts in the various civil cases.</w:t>
                            </w:r>
                            <w:r w:rsidR="007709CE">
                              <w:rPr>
                                <w:rFonts w:ascii="Times New Roman" w:hAnsi="Times New Roman" w:cs="Times New Roman"/>
                                <w:i/>
                                <w:sz w:val="22"/>
                                <w:szCs w:val="22"/>
                              </w:rPr>
                              <w:t xml:space="preserve"> </w:t>
                            </w:r>
                            <w:r w:rsidR="006667AB" w:rsidRPr="006667AB">
                              <w:rPr>
                                <w:rFonts w:ascii="Times New Roman" w:hAnsi="Times New Roman" w:cs="Times New Roman"/>
                                <w:i/>
                                <w:sz w:val="22"/>
                                <w:szCs w:val="22"/>
                              </w:rPr>
                              <w:t>The gist of these pronouncements was that the activities forming the substance of the indictment were fraudulent and unlawful. It appeared that the civil cases in question had been decided on the basis of agreed facts and that the accused had not been party to the agreed facts.</w:t>
                            </w:r>
                            <w:r w:rsidR="006667AB">
                              <w:rPr>
                                <w:rFonts w:ascii="Times New Roman" w:hAnsi="Times New Roman" w:cs="Times New Roman"/>
                                <w:i/>
                                <w:sz w:val="22"/>
                                <w:szCs w:val="22"/>
                              </w:rPr>
                              <w:t xml:space="preserve"> </w:t>
                            </w:r>
                            <w:r w:rsidR="006667AB" w:rsidRPr="006667AB">
                              <w:rPr>
                                <w:rFonts w:ascii="Times New Roman" w:hAnsi="Times New Roman" w:cs="Times New Roman"/>
                                <w:i/>
                                <w:iCs/>
                                <w:sz w:val="22"/>
                                <w:szCs w:val="22"/>
                              </w:rPr>
                              <w:t>Held</w:t>
                            </w:r>
                            <w:r w:rsidR="006667AB" w:rsidRPr="006667AB">
                              <w:rPr>
                                <w:rFonts w:ascii="Times New Roman" w:hAnsi="Times New Roman" w:cs="Times New Roman"/>
                                <w:i/>
                                <w:sz w:val="22"/>
                                <w:szCs w:val="22"/>
                              </w:rPr>
                              <w:t xml:space="preserve">, that, in effect, what the </w:t>
                            </w:r>
                            <w:r w:rsidR="006667AB" w:rsidRPr="006667AB">
                              <w:rPr>
                                <w:rFonts w:ascii="Times New Roman" w:hAnsi="Times New Roman" w:cs="Times New Roman"/>
                                <w:i/>
                                <w:sz w:val="22"/>
                                <w:szCs w:val="22"/>
                                <w:u w:val="single"/>
                              </w:rPr>
                              <w:t>applicant contended was that, once a civil case had been decided and certain findings made, a criminal prosecution in respect of the same conduct should not be allowed to proceed as the accused would be prejudiced by the prior civil court judgment against the accused</w:t>
                            </w:r>
                            <w:r w:rsidR="006667AB" w:rsidRPr="006667AB">
                              <w:rPr>
                                <w:rFonts w:ascii="Times New Roman" w:hAnsi="Times New Roman" w:cs="Times New Roman"/>
                                <w:i/>
                                <w:sz w:val="22"/>
                                <w:szCs w:val="22"/>
                              </w:rPr>
                              <w:t xml:space="preserve"> (defendant). </w:t>
                            </w:r>
                            <w:r w:rsidR="006667AB" w:rsidRPr="006667AB">
                              <w:rPr>
                                <w:rFonts w:ascii="Times New Roman" w:hAnsi="Times New Roman" w:cs="Times New Roman"/>
                                <w:i/>
                                <w:sz w:val="22"/>
                                <w:szCs w:val="22"/>
                                <w:u w:val="single"/>
                              </w:rPr>
                              <w:t>The premise of the application was that the trial judge would be influenced by the pronouncements in the various civil cases, and therefore fail to adjudicate in the criminal trial objectively, with an open mind and with the necessary impartiality. There was no basis for this. It was trite law that decisions by the one court were not binding on the other court; they were mere opinions</w:t>
                            </w:r>
                            <w:r w:rsidR="006667AB" w:rsidRPr="006667AB">
                              <w:rPr>
                                <w:rFonts w:ascii="Times New Roman" w:hAnsi="Times New Roman" w:cs="Times New Roman"/>
                                <w:i/>
                                <w:sz w:val="22"/>
                                <w:szCs w:val="22"/>
                              </w:rPr>
                              <w:t xml:space="preserve">; this was particularly so with regard to factual findings as </w:t>
                            </w:r>
                            <w:r w:rsidR="006667AB" w:rsidRPr="006667AB">
                              <w:rPr>
                                <w:rFonts w:ascii="Times New Roman" w:hAnsi="Times New Roman" w:cs="Times New Roman"/>
                                <w:i/>
                                <w:iCs/>
                                <w:sz w:val="22"/>
                                <w:szCs w:val="22"/>
                              </w:rPr>
                              <w:t>in casu</w:t>
                            </w:r>
                            <w:r w:rsidR="006667AB" w:rsidRPr="006667AB">
                              <w:rPr>
                                <w:rFonts w:ascii="Times New Roman" w:hAnsi="Times New Roman" w:cs="Times New Roman"/>
                                <w:i/>
                                <w:sz w:val="22"/>
                                <w:szCs w:val="22"/>
                              </w:rPr>
                              <w:t xml:space="preserve">. Furthermore, the </w:t>
                            </w:r>
                            <w:r w:rsidR="006667AB" w:rsidRPr="006667AB">
                              <w:rPr>
                                <w:rFonts w:ascii="Times New Roman" w:hAnsi="Times New Roman" w:cs="Times New Roman"/>
                                <w:i/>
                                <w:sz w:val="22"/>
                                <w:szCs w:val="22"/>
                                <w:u w:val="single"/>
                              </w:rPr>
                              <w:t>standard of proof in criminal trials is higher than in civil trials.</w:t>
                            </w:r>
                            <w:r w:rsidR="006667AB" w:rsidRPr="005A74C4">
                              <w:rPr>
                                <w:rFonts w:ascii="Times New Roman" w:hAnsi="Times New Roman" w:cs="Times New Roman"/>
                                <w:i/>
                                <w:sz w:val="22"/>
                                <w:szCs w:val="22"/>
                                <w:u w:val="single"/>
                              </w:rPr>
                              <w:t xml:space="preserve"> </w:t>
                            </w:r>
                          </w:p>
                          <w:p w14:paraId="16F48FDE" w14:textId="77777777" w:rsidR="007709CE" w:rsidRDefault="006667AB" w:rsidP="007709CE">
                            <w:pPr>
                              <w:spacing w:after="0" w:line="276" w:lineRule="auto"/>
                              <w:jc w:val="both"/>
                              <w:rPr>
                                <w:rFonts w:ascii="Times New Roman" w:hAnsi="Times New Roman" w:cs="Times New Roman"/>
                                <w:i/>
                                <w:sz w:val="22"/>
                                <w:szCs w:val="22"/>
                              </w:rPr>
                            </w:pP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that the criminal trial would be heard by a judge who was a trained judicial officer and he knew that he had to decide every case which came before him on the evidence adduced in that case. He knew further that </w:t>
                            </w:r>
                            <w:r w:rsidRPr="006667AB">
                              <w:rPr>
                                <w:rFonts w:ascii="Times New Roman" w:hAnsi="Times New Roman" w:cs="Times New Roman"/>
                                <w:i/>
                                <w:sz w:val="22"/>
                                <w:szCs w:val="22"/>
                                <w:u w:val="single"/>
                              </w:rPr>
                              <w:t>a decision on facts in one case was irrelevant in respect of any other case, and that he had to confine himself to the evidence produced in the case he was actually trying</w:t>
                            </w:r>
                            <w:r w:rsidRPr="006667AB">
                              <w:rPr>
                                <w:rFonts w:ascii="Times New Roman" w:hAnsi="Times New Roman" w:cs="Times New Roman"/>
                                <w:i/>
                                <w:sz w:val="22"/>
                                <w:szCs w:val="22"/>
                              </w:rPr>
                              <w:t>.</w:t>
                            </w:r>
                          </w:p>
                          <w:p w14:paraId="1A0D158A" w14:textId="7A407C7C" w:rsidR="006667AB" w:rsidRPr="006667AB" w:rsidRDefault="006667AB" w:rsidP="007709CE">
                            <w:pPr>
                              <w:spacing w:after="0" w:line="276" w:lineRule="auto"/>
                              <w:jc w:val="both"/>
                              <w:rPr>
                                <w:rFonts w:ascii="Times New Roman" w:hAnsi="Times New Roman" w:cs="Times New Roman"/>
                                <w:i/>
                                <w:sz w:val="22"/>
                                <w:szCs w:val="22"/>
                              </w:rPr>
                            </w:pPr>
                            <w:r w:rsidRPr="006667AB">
                              <w:rPr>
                                <w:rFonts w:ascii="Times New Roman" w:hAnsi="Times New Roman" w:cs="Times New Roman"/>
                                <w:i/>
                                <w:sz w:val="22"/>
                                <w:szCs w:val="22"/>
                              </w:rPr>
                              <w:t xml:space="preserve"> </w:t>
                            </w: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w:t>
                            </w:r>
                            <w:r w:rsidRPr="006667AB">
                              <w:rPr>
                                <w:rFonts w:ascii="Times New Roman" w:hAnsi="Times New Roman" w:cs="Times New Roman"/>
                                <w:i/>
                                <w:sz w:val="22"/>
                                <w:szCs w:val="22"/>
                                <w:u w:val="single"/>
                              </w:rPr>
                              <w:t>that the trial judge would know that the judgments in the civil cases could not be held against the accused in the criminal trial as the accused were not party to those civil proceedings.</w:t>
                            </w:r>
                            <w:r w:rsidRPr="006667AB">
                              <w:rPr>
                                <w:rFonts w:ascii="Times New Roman" w:hAnsi="Times New Roman" w:cs="Times New Roman"/>
                                <w:i/>
                                <w:sz w:val="22"/>
                                <w:szCs w:val="22"/>
                              </w:rPr>
                              <w:t xml:space="preserve"> </w:t>
                            </w:r>
                          </w:p>
                          <w:p w14:paraId="33AC3795" w14:textId="74DE353F" w:rsidR="009B0769" w:rsidRPr="00101B97" w:rsidRDefault="006667AB" w:rsidP="00A0475B">
                            <w:pPr>
                              <w:spacing w:after="0" w:line="276" w:lineRule="auto"/>
                              <w:jc w:val="both"/>
                              <w:rPr>
                                <w:i/>
                                <w:sz w:val="22"/>
                                <w:szCs w:val="22"/>
                              </w:rPr>
                            </w:pP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that the application was ill-conceived. </w:t>
                            </w:r>
                            <w:r w:rsidRPr="006667AB">
                              <w:rPr>
                                <w:rFonts w:ascii="Times New Roman" w:hAnsi="Times New Roman" w:cs="Times New Roman"/>
                                <w:i/>
                                <w:sz w:val="22"/>
                                <w:szCs w:val="22"/>
                                <w:u w:val="single"/>
                              </w:rPr>
                              <w:t>An accused person may not apply for a permanent stay of prosecution on the ground that he/she was likely to be prejudiced by external factors, in this case pronouncements in civil matters.</w:t>
                            </w:r>
                            <w:r w:rsidRPr="006667AB">
                              <w:rPr>
                                <w:rFonts w:ascii="Times New Roman" w:hAnsi="Times New Roman" w:cs="Times New Roman"/>
                                <w:i/>
                                <w:sz w:val="22"/>
                                <w:szCs w:val="22"/>
                              </w:rPr>
                              <w:t xml:space="preserve"> Such an argument assumed that the trial court would commit an irregularity by allowing itself to be unduly influenced by those factors. The trial should be allowed to proceed</w:t>
                            </w:r>
                            <w:r w:rsidR="003610D8">
                              <w:rPr>
                                <w:rFonts w:ascii="Times New Roman" w:hAnsi="Times New Roman" w:cs="Times New Roman"/>
                                <w:i/>
                                <w:sz w:val="22"/>
                                <w:szCs w:val="22"/>
                              </w:rPr>
                              <w:t>.</w:t>
                            </w:r>
                            <w:r w:rsidR="002345FD">
                              <w:rPr>
                                <w:rFonts w:ascii="Times New Roman" w:hAnsi="Times New Roman" w:cs="Times New Roman"/>
                                <w:i/>
                                <w:sz w:val="22"/>
                                <w:szCs w:val="22"/>
                              </w:rPr>
                              <w:t xml:space="preserve"> </w:t>
                            </w:r>
                            <w:r w:rsidR="00A0475B" w:rsidRPr="00A0475B">
                              <w:rPr>
                                <w:rFonts w:ascii="Times New Roman" w:hAnsi="Times New Roman" w:cs="Times New Roman"/>
                                <w:i/>
                                <w:iCs/>
                                <w:sz w:val="22"/>
                                <w:szCs w:val="22"/>
                              </w:rPr>
                              <w:t>Held</w:t>
                            </w:r>
                            <w:r w:rsidR="00A0475B" w:rsidRPr="00A0475B">
                              <w:rPr>
                                <w:rFonts w:ascii="Times New Roman" w:hAnsi="Times New Roman" w:cs="Times New Roman"/>
                                <w:i/>
                                <w:sz w:val="22"/>
                                <w:szCs w:val="22"/>
                              </w:rPr>
                              <w:t xml:space="preserve">, further, that </w:t>
                            </w:r>
                            <w:r w:rsidR="00A0475B" w:rsidRPr="003610D8">
                              <w:rPr>
                                <w:rFonts w:ascii="Times New Roman" w:hAnsi="Times New Roman" w:cs="Times New Roman"/>
                                <w:b/>
                                <w:i/>
                                <w:sz w:val="22"/>
                                <w:szCs w:val="22"/>
                                <w:u w:val="single"/>
                              </w:rPr>
                              <w:t>counsel for the applicant should be denied his entire fees in connection with the application. Counsel had advised the applicant to initiate the application because he believed that the applicant's right to a fair trial had been violated by the pronouncements made in the various civil courts. The application was clearly baseless. Furthermore, as counsel for the applicant was going to be paid by the Legal Aid Board, taxpayers' money should not be abused in this manner.</w:t>
                            </w:r>
                            <w:r w:rsidR="00A0475B" w:rsidRPr="00A0475B">
                              <w:rPr>
                                <w:rFonts w:ascii="Times New Roman" w:hAnsi="Times New Roman" w:cs="Times New Roman"/>
                                <w:i/>
                                <w:sz w:val="22"/>
                                <w:szCs w:val="22"/>
                              </w:rPr>
                              <w:t xml:space="preserve"> Application dismissed and order issued that applicant's counsel should not be entitled to payment of any fees in connection with the application.</w:t>
                            </w:r>
                            <w:r w:rsidR="008113B3">
                              <w:rPr>
                                <w:rFonts w:ascii="Times New Roman" w:hAnsi="Times New Roman" w:cs="Times New Roman"/>
                                <w:i/>
                                <w:sz w:val="22"/>
                                <w:szCs w:val="2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B07853" id="Text Box 4" o:spid="_x0000_s1029" type="#_x0000_t202" style="position:absolute;left:0;text-align:left;margin-left:-12pt;margin-top:28.5pt;width:510pt;height:558.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UZaKQIAAEwEAAAOAAAAZHJzL2Uyb0RvYy54bWysVNtu2zAMfR+wfxD0vtjJnKQx4hRdugwD&#10;ugvQ7gNoWY6FyaInKbG7rx8lp2m6AXsY5gdBFKnDw0PR6+uh1eworVNoCj6dpJxJI7BSZl/wbw+7&#10;N1ecOQ+mAo1GFvxROn69ef1q3Xe5nGGDupKWEYhxed8VvPG+y5PEiUa24CbYSUPOGm0Lnky7TyoL&#10;PaG3Opml6SLp0VadRSGdo9Pb0ck3Eb+upfBf6tpJz3TBiZuPq41rGdZks4Z8b6FrlDjRgH9g0YIy&#10;lPQMdQse2MGqP6BaJSw6rP1EYJtgXSshYw1UzTT9rZr7BjoZayFxXHeWyf0/WPH5+NUyVRU848xA&#10;Sy16kINn73BgWVCn71xOQfcdhfmBjqnLsVLX3aH47pjBbQNmL2+sxb6RUBG7abiZXFwdcVwAKftP&#10;WFEaOHiMQENt2yAdicEInbr0eO5MoCLocJEtl2lKLkG+ZbpaTGfzmAPyp+uddf6DxJaFTcEttT7C&#10;w/HO+UAH8qeQkM2hVtVOaR0Nuy+32rIj0DPZxe+E/iJMG9YXfDWn3H+HIKqB7Zj1BUSrPL13rdqC&#10;X52DIA+6vTcVXYDcg9LjnihrcxIyaDeq6IdyiB17GxIEkUusHklZi+PzpnGkTYP2J2c9Pe2Cux8H&#10;sJIz/dFQd1bTLAuzEI1svpyRYS895aUHjCCognvOxu3Wx/kJVA3eUBdrFfV9ZnKiTE82yn4arzAT&#10;l3aMev4JbH4BAAD//wMAUEsDBBQABgAIAAAAIQCoylxX4gAAAAsBAAAPAAAAZHJzL2Rvd25yZXYu&#10;eG1sTI/BTsMwEETvSPyDtUhcUOu0pEkT4lQICQQ3KFW5urGbRNjrYLtp+HuWE5x2VzOafVNtJmvY&#10;qH3oHQpYzBNgGhunemwF7N4fZ2tgIUpU0jjUAr51gE19eVHJUrkzvulxG1tGIRhKKaCLcSg5D02n&#10;rQxzN2gk7ei8lZFO33Ll5ZnCreHLJMm4lT3Sh04O+qHTzef2ZAWs0+fxI7zcvu6b7GiKeJOPT19e&#10;iOur6f4OWNRT/DPDLz6hQ01MB3dCFZgRMFum1CUKWOU0yVAUGS0Hci7ydAW8rvj/DvUPAAAA//8D&#10;AFBLAQItABQABgAIAAAAIQC2gziS/gAAAOEBAAATAAAAAAAAAAAAAAAAAAAAAABbQ29udGVudF9U&#10;eXBlc10ueG1sUEsBAi0AFAAGAAgAAAAhADj9If/WAAAAlAEAAAsAAAAAAAAAAAAAAAAALwEAAF9y&#10;ZWxzLy5yZWxzUEsBAi0AFAAGAAgAAAAhAJN5RlopAgAATAQAAA4AAAAAAAAAAAAAAAAALgIAAGRy&#10;cy9lMm9Eb2MueG1sUEsBAi0AFAAGAAgAAAAhAKjKXFfiAAAACwEAAA8AAAAAAAAAAAAAAAAAgwQA&#10;AGRycy9kb3ducmV2LnhtbFBLBQYAAAAABAAEAPMAAACSBQAAAAA=&#10;">
                <v:textbox>
                  <w:txbxContent>
                    <w:p w14:paraId="20638D73" w14:textId="77777777" w:rsidR="009B0769" w:rsidRPr="009042A0" w:rsidRDefault="009B0769" w:rsidP="009B0769">
                      <w:pPr>
                        <w:spacing w:after="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p>
                    <w:p w14:paraId="1093340C" w14:textId="688B1609" w:rsidR="007709CE" w:rsidRPr="005A74C4" w:rsidRDefault="004139BA" w:rsidP="007709CE">
                      <w:pPr>
                        <w:spacing w:after="0" w:line="276" w:lineRule="auto"/>
                        <w:jc w:val="both"/>
                        <w:rPr>
                          <w:rFonts w:ascii="Times New Roman" w:hAnsi="Times New Roman" w:cs="Times New Roman"/>
                          <w:i/>
                          <w:sz w:val="22"/>
                          <w:szCs w:val="22"/>
                          <w:u w:val="single"/>
                        </w:rPr>
                      </w:pPr>
                      <w:r>
                        <w:rPr>
                          <w:rFonts w:ascii="Times New Roman" w:hAnsi="Times New Roman" w:cs="Times New Roman"/>
                          <w:b/>
                          <w:i/>
                          <w:sz w:val="22"/>
                          <w:szCs w:val="22"/>
                        </w:rPr>
                        <w:t>5</w:t>
                      </w:r>
                      <w:r w:rsidR="00004A01">
                        <w:rPr>
                          <w:rFonts w:ascii="Times New Roman" w:hAnsi="Times New Roman" w:cs="Times New Roman"/>
                          <w:b/>
                          <w:i/>
                          <w:sz w:val="22"/>
                          <w:szCs w:val="22"/>
                        </w:rPr>
                        <w:t>2</w:t>
                      </w:r>
                      <w:r w:rsidR="009B0769">
                        <w:rPr>
                          <w:rFonts w:ascii="Times New Roman" w:hAnsi="Times New Roman" w:cs="Times New Roman"/>
                          <w:b/>
                          <w:i/>
                          <w:sz w:val="22"/>
                          <w:szCs w:val="22"/>
                        </w:rPr>
                        <w:t>H-</w:t>
                      </w:r>
                      <w:r>
                        <w:rPr>
                          <w:rFonts w:ascii="Times New Roman" w:hAnsi="Times New Roman" w:cs="Times New Roman"/>
                          <w:b/>
                          <w:i/>
                          <w:sz w:val="22"/>
                          <w:szCs w:val="22"/>
                        </w:rPr>
                        <w:t>53</w:t>
                      </w:r>
                      <w:r w:rsidR="009B0769">
                        <w:rPr>
                          <w:rFonts w:ascii="Times New Roman" w:hAnsi="Times New Roman" w:cs="Times New Roman"/>
                          <w:b/>
                          <w:i/>
                          <w:sz w:val="22"/>
                          <w:szCs w:val="22"/>
                        </w:rPr>
                        <w:t>F</w:t>
                      </w:r>
                      <w:r w:rsidR="009B0769" w:rsidRPr="009042A0">
                        <w:rPr>
                          <w:rFonts w:ascii="Times New Roman" w:hAnsi="Times New Roman" w:cs="Times New Roman"/>
                          <w:b/>
                          <w:i/>
                          <w:sz w:val="22"/>
                          <w:szCs w:val="22"/>
                        </w:rPr>
                        <w:t>:</w:t>
                      </w:r>
                      <w:r w:rsidR="009B0769" w:rsidRPr="009042A0">
                        <w:rPr>
                          <w:rFonts w:ascii="Times New Roman" w:hAnsi="Times New Roman" w:cs="Times New Roman"/>
                          <w:i/>
                          <w:sz w:val="22"/>
                          <w:szCs w:val="22"/>
                        </w:rPr>
                        <w:t xml:space="preserve"> </w:t>
                      </w:r>
                      <w:r w:rsidR="00165D3F" w:rsidRPr="00165D3F">
                        <w:rPr>
                          <w:rFonts w:ascii="Times New Roman" w:hAnsi="Times New Roman" w:cs="Times New Roman"/>
                          <w:i/>
                          <w:sz w:val="22"/>
                          <w:szCs w:val="22"/>
                        </w:rPr>
                        <w:t>The applicant, together with the second to seventh respondents, were the accused in a criminal trial pending before the High Court. The charges related to certain financial activities conducted by the accused or companies associated with them. These activities had also resulted in a number of civil cases before the civil courts. In an application for the permanent stay of the prosecution, the applicant alleged that his constitutional rights and those of his co-accused to be presumed innocent had been violated; that their right to a fair trial, and their right of appeal or review in terms of s 35(3)</w:t>
                      </w:r>
                      <w:r w:rsidR="00165D3F" w:rsidRPr="00165D3F">
                        <w:rPr>
                          <w:rFonts w:ascii="Times New Roman" w:hAnsi="Times New Roman" w:cs="Times New Roman"/>
                          <w:i/>
                          <w:iCs/>
                          <w:sz w:val="22"/>
                          <w:szCs w:val="22"/>
                        </w:rPr>
                        <w:t>(o)</w:t>
                      </w:r>
                      <w:r w:rsidR="00165D3F" w:rsidRPr="00165D3F">
                        <w:rPr>
                          <w:rFonts w:ascii="Times New Roman" w:hAnsi="Times New Roman" w:cs="Times New Roman"/>
                          <w:i/>
                          <w:sz w:val="22"/>
                          <w:szCs w:val="22"/>
                        </w:rPr>
                        <w:t xml:space="preserve"> of the Constitution of the Republic of South Africa, 1996, had been violated by the pronouncements made in the judgments referred to above. </w:t>
                      </w:r>
                      <w:r w:rsidR="00165D3F" w:rsidRPr="00004A01">
                        <w:rPr>
                          <w:rFonts w:ascii="Times New Roman" w:hAnsi="Times New Roman" w:cs="Times New Roman"/>
                          <w:i/>
                          <w:sz w:val="22"/>
                          <w:szCs w:val="22"/>
                          <w:u w:val="single"/>
                        </w:rPr>
                        <w:t xml:space="preserve">It was contended that they would therefore not receive a fair trial in the impending criminal case against them, and therefore that this court should issue an </w:t>
                      </w:r>
                      <w:r w:rsidR="00165D3F" w:rsidRPr="00165D3F">
                        <w:rPr>
                          <w:rFonts w:ascii="Times New Roman" w:hAnsi="Times New Roman" w:cs="Times New Roman"/>
                          <w:i/>
                          <w:sz w:val="22"/>
                          <w:szCs w:val="22"/>
                          <w:u w:val="single"/>
                        </w:rPr>
                        <w:t>order that their prosecution be permanently stayed. It was further contended that the trial judge would be biased against the accused as a result of the pronouncements made by the various courts in the various civil cases.</w:t>
                      </w:r>
                      <w:r w:rsidR="007709CE">
                        <w:rPr>
                          <w:rFonts w:ascii="Times New Roman" w:hAnsi="Times New Roman" w:cs="Times New Roman"/>
                          <w:i/>
                          <w:sz w:val="22"/>
                          <w:szCs w:val="22"/>
                        </w:rPr>
                        <w:t xml:space="preserve"> </w:t>
                      </w:r>
                      <w:r w:rsidR="006667AB" w:rsidRPr="006667AB">
                        <w:rPr>
                          <w:rFonts w:ascii="Times New Roman" w:hAnsi="Times New Roman" w:cs="Times New Roman"/>
                          <w:i/>
                          <w:sz w:val="22"/>
                          <w:szCs w:val="22"/>
                        </w:rPr>
                        <w:t>The gist of these pronouncements was that the activities forming the substance of the indictment were fraudulent and unlawful. It appeared that the civil cases in question had been decided on the basis of agreed facts and that the accused had not been party to the agreed facts.</w:t>
                      </w:r>
                      <w:r w:rsidR="006667AB">
                        <w:rPr>
                          <w:rFonts w:ascii="Times New Roman" w:hAnsi="Times New Roman" w:cs="Times New Roman"/>
                          <w:i/>
                          <w:sz w:val="22"/>
                          <w:szCs w:val="22"/>
                        </w:rPr>
                        <w:t xml:space="preserve"> </w:t>
                      </w:r>
                      <w:r w:rsidR="006667AB" w:rsidRPr="006667AB">
                        <w:rPr>
                          <w:rFonts w:ascii="Times New Roman" w:hAnsi="Times New Roman" w:cs="Times New Roman"/>
                          <w:i/>
                          <w:iCs/>
                          <w:sz w:val="22"/>
                          <w:szCs w:val="22"/>
                        </w:rPr>
                        <w:t>Held</w:t>
                      </w:r>
                      <w:r w:rsidR="006667AB" w:rsidRPr="006667AB">
                        <w:rPr>
                          <w:rFonts w:ascii="Times New Roman" w:hAnsi="Times New Roman" w:cs="Times New Roman"/>
                          <w:i/>
                          <w:sz w:val="22"/>
                          <w:szCs w:val="22"/>
                        </w:rPr>
                        <w:t xml:space="preserve">, that, in effect, what the </w:t>
                      </w:r>
                      <w:r w:rsidR="006667AB" w:rsidRPr="006667AB">
                        <w:rPr>
                          <w:rFonts w:ascii="Times New Roman" w:hAnsi="Times New Roman" w:cs="Times New Roman"/>
                          <w:i/>
                          <w:sz w:val="22"/>
                          <w:szCs w:val="22"/>
                          <w:u w:val="single"/>
                        </w:rPr>
                        <w:t>applicant contended was that, once a civil case had been decided and certain findings made, a criminal prosecution in respect of the same conduct should not be allowed to proceed as the accused would be prejudiced by the prior civil court judgment against the accused</w:t>
                      </w:r>
                      <w:r w:rsidR="006667AB" w:rsidRPr="006667AB">
                        <w:rPr>
                          <w:rFonts w:ascii="Times New Roman" w:hAnsi="Times New Roman" w:cs="Times New Roman"/>
                          <w:i/>
                          <w:sz w:val="22"/>
                          <w:szCs w:val="22"/>
                        </w:rPr>
                        <w:t xml:space="preserve"> (defendant). </w:t>
                      </w:r>
                      <w:r w:rsidR="006667AB" w:rsidRPr="006667AB">
                        <w:rPr>
                          <w:rFonts w:ascii="Times New Roman" w:hAnsi="Times New Roman" w:cs="Times New Roman"/>
                          <w:i/>
                          <w:sz w:val="22"/>
                          <w:szCs w:val="22"/>
                          <w:u w:val="single"/>
                        </w:rPr>
                        <w:t>The premise of the application was that the trial judge would be influenced by the pronouncements in the various civil cases, and therefore fail to adjudicate in the criminal trial objectively, with an open mind and with the necessary impartiality. There was no basis for this. It was trite law that decisions by the one court were not binding on the other court; they were mere opinions</w:t>
                      </w:r>
                      <w:r w:rsidR="006667AB" w:rsidRPr="006667AB">
                        <w:rPr>
                          <w:rFonts w:ascii="Times New Roman" w:hAnsi="Times New Roman" w:cs="Times New Roman"/>
                          <w:i/>
                          <w:sz w:val="22"/>
                          <w:szCs w:val="22"/>
                        </w:rPr>
                        <w:t xml:space="preserve">; this was particularly so with regard to factual findings as </w:t>
                      </w:r>
                      <w:r w:rsidR="006667AB" w:rsidRPr="006667AB">
                        <w:rPr>
                          <w:rFonts w:ascii="Times New Roman" w:hAnsi="Times New Roman" w:cs="Times New Roman"/>
                          <w:i/>
                          <w:iCs/>
                          <w:sz w:val="22"/>
                          <w:szCs w:val="22"/>
                        </w:rPr>
                        <w:t>in casu</w:t>
                      </w:r>
                      <w:r w:rsidR="006667AB" w:rsidRPr="006667AB">
                        <w:rPr>
                          <w:rFonts w:ascii="Times New Roman" w:hAnsi="Times New Roman" w:cs="Times New Roman"/>
                          <w:i/>
                          <w:sz w:val="22"/>
                          <w:szCs w:val="22"/>
                        </w:rPr>
                        <w:t xml:space="preserve">. Furthermore, the </w:t>
                      </w:r>
                      <w:r w:rsidR="006667AB" w:rsidRPr="006667AB">
                        <w:rPr>
                          <w:rFonts w:ascii="Times New Roman" w:hAnsi="Times New Roman" w:cs="Times New Roman"/>
                          <w:i/>
                          <w:sz w:val="22"/>
                          <w:szCs w:val="22"/>
                          <w:u w:val="single"/>
                        </w:rPr>
                        <w:t>standard of proof in criminal trials is higher than in civil trials.</w:t>
                      </w:r>
                      <w:r w:rsidR="006667AB" w:rsidRPr="005A74C4">
                        <w:rPr>
                          <w:rFonts w:ascii="Times New Roman" w:hAnsi="Times New Roman" w:cs="Times New Roman"/>
                          <w:i/>
                          <w:sz w:val="22"/>
                          <w:szCs w:val="22"/>
                          <w:u w:val="single"/>
                        </w:rPr>
                        <w:t xml:space="preserve"> </w:t>
                      </w:r>
                    </w:p>
                    <w:p w14:paraId="16F48FDE" w14:textId="77777777" w:rsidR="007709CE" w:rsidRDefault="006667AB" w:rsidP="007709CE">
                      <w:pPr>
                        <w:spacing w:after="0" w:line="276" w:lineRule="auto"/>
                        <w:jc w:val="both"/>
                        <w:rPr>
                          <w:rFonts w:ascii="Times New Roman" w:hAnsi="Times New Roman" w:cs="Times New Roman"/>
                          <w:i/>
                          <w:sz w:val="22"/>
                          <w:szCs w:val="22"/>
                        </w:rPr>
                      </w:pP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that the criminal trial would be heard by a judge who was a trained judicial officer and he knew that he had to decide every case which came before him on the evidence adduced in that case. He knew further that </w:t>
                      </w:r>
                      <w:r w:rsidRPr="006667AB">
                        <w:rPr>
                          <w:rFonts w:ascii="Times New Roman" w:hAnsi="Times New Roman" w:cs="Times New Roman"/>
                          <w:i/>
                          <w:sz w:val="22"/>
                          <w:szCs w:val="22"/>
                          <w:u w:val="single"/>
                        </w:rPr>
                        <w:t>a decision on facts in one case was irrelevant in respect of any other case, and that he had to confine himself to the evidence produced in the case he was actually trying</w:t>
                      </w:r>
                      <w:r w:rsidRPr="006667AB">
                        <w:rPr>
                          <w:rFonts w:ascii="Times New Roman" w:hAnsi="Times New Roman" w:cs="Times New Roman"/>
                          <w:i/>
                          <w:sz w:val="22"/>
                          <w:szCs w:val="22"/>
                        </w:rPr>
                        <w:t>.</w:t>
                      </w:r>
                    </w:p>
                    <w:p w14:paraId="1A0D158A" w14:textId="7A407C7C" w:rsidR="006667AB" w:rsidRPr="006667AB" w:rsidRDefault="006667AB" w:rsidP="007709CE">
                      <w:pPr>
                        <w:spacing w:after="0" w:line="276" w:lineRule="auto"/>
                        <w:jc w:val="both"/>
                        <w:rPr>
                          <w:rFonts w:ascii="Times New Roman" w:hAnsi="Times New Roman" w:cs="Times New Roman"/>
                          <w:i/>
                          <w:sz w:val="22"/>
                          <w:szCs w:val="22"/>
                        </w:rPr>
                      </w:pPr>
                      <w:r w:rsidRPr="006667AB">
                        <w:rPr>
                          <w:rFonts w:ascii="Times New Roman" w:hAnsi="Times New Roman" w:cs="Times New Roman"/>
                          <w:i/>
                          <w:sz w:val="22"/>
                          <w:szCs w:val="22"/>
                        </w:rPr>
                        <w:t xml:space="preserve"> </w:t>
                      </w: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w:t>
                      </w:r>
                      <w:r w:rsidRPr="006667AB">
                        <w:rPr>
                          <w:rFonts w:ascii="Times New Roman" w:hAnsi="Times New Roman" w:cs="Times New Roman"/>
                          <w:i/>
                          <w:sz w:val="22"/>
                          <w:szCs w:val="22"/>
                          <w:u w:val="single"/>
                        </w:rPr>
                        <w:t>that the trial judge would know that the judgments in the civil cases could not be held against the accused in the criminal trial as the accused were not party to those civil proceedings.</w:t>
                      </w:r>
                      <w:r w:rsidRPr="006667AB">
                        <w:rPr>
                          <w:rFonts w:ascii="Times New Roman" w:hAnsi="Times New Roman" w:cs="Times New Roman"/>
                          <w:i/>
                          <w:sz w:val="22"/>
                          <w:szCs w:val="22"/>
                        </w:rPr>
                        <w:t xml:space="preserve"> </w:t>
                      </w:r>
                    </w:p>
                    <w:p w14:paraId="33AC3795" w14:textId="74DE353F" w:rsidR="009B0769" w:rsidRPr="00101B97" w:rsidRDefault="006667AB" w:rsidP="00A0475B">
                      <w:pPr>
                        <w:spacing w:after="0" w:line="276" w:lineRule="auto"/>
                        <w:jc w:val="both"/>
                        <w:rPr>
                          <w:i/>
                          <w:sz w:val="22"/>
                          <w:szCs w:val="22"/>
                        </w:rPr>
                      </w:pPr>
                      <w:r w:rsidRPr="006667AB">
                        <w:rPr>
                          <w:rFonts w:ascii="Times New Roman" w:hAnsi="Times New Roman" w:cs="Times New Roman"/>
                          <w:i/>
                          <w:iCs/>
                          <w:sz w:val="22"/>
                          <w:szCs w:val="22"/>
                        </w:rPr>
                        <w:t>Held</w:t>
                      </w:r>
                      <w:r w:rsidRPr="006667AB">
                        <w:rPr>
                          <w:rFonts w:ascii="Times New Roman" w:hAnsi="Times New Roman" w:cs="Times New Roman"/>
                          <w:i/>
                          <w:sz w:val="22"/>
                          <w:szCs w:val="22"/>
                        </w:rPr>
                        <w:t xml:space="preserve">, further, that the application was ill-conceived. </w:t>
                      </w:r>
                      <w:r w:rsidRPr="006667AB">
                        <w:rPr>
                          <w:rFonts w:ascii="Times New Roman" w:hAnsi="Times New Roman" w:cs="Times New Roman"/>
                          <w:i/>
                          <w:sz w:val="22"/>
                          <w:szCs w:val="22"/>
                          <w:u w:val="single"/>
                        </w:rPr>
                        <w:t>An accused person may not apply for a permanent stay of prosecution on the ground that he/she was likely to be prejudiced by external factors, in this case pronouncements in civil matters.</w:t>
                      </w:r>
                      <w:r w:rsidRPr="006667AB">
                        <w:rPr>
                          <w:rFonts w:ascii="Times New Roman" w:hAnsi="Times New Roman" w:cs="Times New Roman"/>
                          <w:i/>
                          <w:sz w:val="22"/>
                          <w:szCs w:val="22"/>
                        </w:rPr>
                        <w:t xml:space="preserve"> Such an argument assumed that the trial court would commit an irregularity by allowing itself to be unduly influenced by those factors. The trial should be allowed to proceed</w:t>
                      </w:r>
                      <w:r w:rsidR="003610D8">
                        <w:rPr>
                          <w:rFonts w:ascii="Times New Roman" w:hAnsi="Times New Roman" w:cs="Times New Roman"/>
                          <w:i/>
                          <w:sz w:val="22"/>
                          <w:szCs w:val="22"/>
                        </w:rPr>
                        <w:t>.</w:t>
                      </w:r>
                      <w:r w:rsidR="002345FD">
                        <w:rPr>
                          <w:rFonts w:ascii="Times New Roman" w:hAnsi="Times New Roman" w:cs="Times New Roman"/>
                          <w:i/>
                          <w:sz w:val="22"/>
                          <w:szCs w:val="22"/>
                        </w:rPr>
                        <w:t xml:space="preserve"> </w:t>
                      </w:r>
                      <w:r w:rsidR="00A0475B" w:rsidRPr="00A0475B">
                        <w:rPr>
                          <w:rFonts w:ascii="Times New Roman" w:hAnsi="Times New Roman" w:cs="Times New Roman"/>
                          <w:i/>
                          <w:iCs/>
                          <w:sz w:val="22"/>
                          <w:szCs w:val="22"/>
                        </w:rPr>
                        <w:t>Held</w:t>
                      </w:r>
                      <w:r w:rsidR="00A0475B" w:rsidRPr="00A0475B">
                        <w:rPr>
                          <w:rFonts w:ascii="Times New Roman" w:hAnsi="Times New Roman" w:cs="Times New Roman"/>
                          <w:i/>
                          <w:sz w:val="22"/>
                          <w:szCs w:val="22"/>
                        </w:rPr>
                        <w:t xml:space="preserve">, further, that </w:t>
                      </w:r>
                      <w:r w:rsidR="00A0475B" w:rsidRPr="003610D8">
                        <w:rPr>
                          <w:rFonts w:ascii="Times New Roman" w:hAnsi="Times New Roman" w:cs="Times New Roman"/>
                          <w:b/>
                          <w:i/>
                          <w:sz w:val="22"/>
                          <w:szCs w:val="22"/>
                          <w:u w:val="single"/>
                        </w:rPr>
                        <w:t>counsel for the applicant should be denied his entire fees in connection with the application. Counsel had advised the applicant to initiate the application because he believed that the applicant's right to a fair trial had been violated by the pronouncements made in the various civil courts. The application was clearly baseless. Furthermore, as counsel for the applicant was going to be paid by the Legal Aid Board, taxpayers' money should not be abused in this manner.</w:t>
                      </w:r>
                      <w:r w:rsidR="00A0475B" w:rsidRPr="00A0475B">
                        <w:rPr>
                          <w:rFonts w:ascii="Times New Roman" w:hAnsi="Times New Roman" w:cs="Times New Roman"/>
                          <w:i/>
                          <w:sz w:val="22"/>
                          <w:szCs w:val="22"/>
                        </w:rPr>
                        <w:t xml:space="preserve"> Application dismissed and order issued that applicant's counsel should not be entitled to payment of any fees in connection with the application.</w:t>
                      </w:r>
                      <w:r w:rsidR="008113B3">
                        <w:rPr>
                          <w:rFonts w:ascii="Times New Roman" w:hAnsi="Times New Roman" w:cs="Times New Roman"/>
                          <w:i/>
                          <w:sz w:val="22"/>
                          <w:szCs w:val="22"/>
                        </w:rPr>
                        <w:t>”</w:t>
                      </w:r>
                    </w:p>
                  </w:txbxContent>
                </v:textbox>
                <w10:wrap type="square" anchorx="margin"/>
              </v:shape>
            </w:pict>
          </mc:Fallback>
        </mc:AlternateContent>
      </w:r>
      <w:r w:rsidR="001800FE" w:rsidRPr="00B74727">
        <w:rPr>
          <w:rFonts w:ascii="Arial" w:hAnsi="Arial" w:cs="Arial"/>
          <w:b/>
          <w:sz w:val="28"/>
          <w:szCs w:val="24"/>
          <w:u w:val="single"/>
        </w:rPr>
        <w:t>Pelser v DPP</w:t>
      </w:r>
      <w:r w:rsidR="001800FE" w:rsidRPr="00B74727">
        <w:rPr>
          <w:rFonts w:ascii="Arial" w:hAnsi="Arial" w:cs="Arial"/>
          <w:sz w:val="28"/>
          <w:szCs w:val="24"/>
          <w:u w:val="single"/>
        </w:rPr>
        <w:t xml:space="preserve"> </w:t>
      </w:r>
      <w:r w:rsidR="00720266" w:rsidRPr="00B74727">
        <w:rPr>
          <w:rFonts w:ascii="Arial" w:hAnsi="Arial" w:cs="Arial"/>
          <w:sz w:val="28"/>
          <w:szCs w:val="24"/>
          <w:u w:val="single"/>
        </w:rPr>
        <w:t>2009 (4)</w:t>
      </w:r>
      <w:r w:rsidR="0006043B" w:rsidRPr="00B74727">
        <w:rPr>
          <w:rFonts w:ascii="Arial" w:hAnsi="Arial" w:cs="Arial"/>
          <w:sz w:val="28"/>
          <w:szCs w:val="24"/>
          <w:u w:val="single"/>
        </w:rPr>
        <w:t xml:space="preserve"> SA 52 (T)</w:t>
      </w:r>
    </w:p>
    <w:p w14:paraId="5EF42907" w14:textId="77777777" w:rsidR="00F87492" w:rsidRPr="009F0D3D" w:rsidRDefault="00F87492" w:rsidP="002F231C">
      <w:pPr>
        <w:pStyle w:val="NoSpacing"/>
        <w:spacing w:line="276" w:lineRule="auto"/>
        <w:jc w:val="both"/>
        <w:rPr>
          <w:rFonts w:ascii="Arial" w:hAnsi="Arial" w:cs="Arial"/>
          <w:b/>
          <w:sz w:val="4"/>
          <w:szCs w:val="4"/>
          <w:u w:val="single"/>
        </w:rPr>
      </w:pPr>
    </w:p>
    <w:p w14:paraId="1F6E6AD9" w14:textId="4EF31833" w:rsidR="008468C0" w:rsidRDefault="00290495" w:rsidP="002F231C">
      <w:pPr>
        <w:pStyle w:val="NoSpacing"/>
        <w:spacing w:line="276" w:lineRule="auto"/>
        <w:jc w:val="both"/>
        <w:rPr>
          <w:rFonts w:ascii="Arial" w:hAnsi="Arial" w:cs="Arial"/>
          <w:b/>
          <w:sz w:val="24"/>
          <w:szCs w:val="24"/>
          <w:u w:val="single"/>
        </w:rPr>
      </w:pPr>
      <w:r w:rsidRPr="005467BD">
        <w:rPr>
          <w:rFonts w:ascii="Arial" w:hAnsi="Arial" w:cs="Arial"/>
          <w:b/>
          <w:sz w:val="24"/>
          <w:szCs w:val="24"/>
          <w:u w:val="single"/>
        </w:rPr>
        <w:t>PRINCIPLE:</w:t>
      </w:r>
    </w:p>
    <w:p w14:paraId="3171A2D3" w14:textId="2D7DD16A" w:rsidR="00290495" w:rsidRPr="008468C0" w:rsidRDefault="00DE5543" w:rsidP="002F231C">
      <w:pPr>
        <w:pStyle w:val="NoSpacing"/>
        <w:spacing w:line="276" w:lineRule="auto"/>
        <w:jc w:val="both"/>
        <w:rPr>
          <w:rFonts w:ascii="Arial" w:hAnsi="Arial" w:cs="Arial"/>
          <w:sz w:val="24"/>
          <w:szCs w:val="24"/>
        </w:rPr>
      </w:pPr>
      <w:r>
        <w:rPr>
          <w:rFonts w:ascii="Arial" w:hAnsi="Arial" w:cs="Arial"/>
          <w:sz w:val="24"/>
          <w:szCs w:val="24"/>
        </w:rPr>
        <w:t xml:space="preserve">Counsel </w:t>
      </w:r>
      <w:r w:rsidR="009F4E11">
        <w:rPr>
          <w:rFonts w:ascii="Arial" w:hAnsi="Arial" w:cs="Arial"/>
          <w:sz w:val="24"/>
          <w:szCs w:val="24"/>
        </w:rPr>
        <w:t>denied fees b</w:t>
      </w:r>
      <w:r w:rsidR="009F0D3D">
        <w:rPr>
          <w:rFonts w:ascii="Arial" w:hAnsi="Arial" w:cs="Arial"/>
          <w:sz w:val="24"/>
          <w:szCs w:val="24"/>
        </w:rPr>
        <w:t xml:space="preserve">ecause of </w:t>
      </w:r>
      <w:r w:rsidR="009F4E11">
        <w:rPr>
          <w:rFonts w:ascii="Arial" w:hAnsi="Arial" w:cs="Arial"/>
          <w:sz w:val="24"/>
          <w:szCs w:val="24"/>
        </w:rPr>
        <w:t>frivolous</w:t>
      </w:r>
      <w:r w:rsidR="00335368">
        <w:rPr>
          <w:rFonts w:ascii="Arial" w:hAnsi="Arial" w:cs="Arial"/>
          <w:sz w:val="24"/>
          <w:szCs w:val="24"/>
        </w:rPr>
        <w:t xml:space="preserve"> / baseless</w:t>
      </w:r>
      <w:r w:rsidR="009F4E11">
        <w:rPr>
          <w:rFonts w:ascii="Arial" w:hAnsi="Arial" w:cs="Arial"/>
          <w:sz w:val="24"/>
          <w:szCs w:val="24"/>
        </w:rPr>
        <w:t xml:space="preserve"> application</w:t>
      </w:r>
      <w:r w:rsidR="007E7F96">
        <w:rPr>
          <w:rFonts w:ascii="Arial" w:hAnsi="Arial" w:cs="Arial"/>
          <w:sz w:val="24"/>
          <w:szCs w:val="24"/>
        </w:rPr>
        <w:t xml:space="preserve"> - </w:t>
      </w:r>
      <w:r>
        <w:rPr>
          <w:rFonts w:ascii="Arial" w:hAnsi="Arial" w:cs="Arial"/>
          <w:sz w:val="24"/>
          <w:szCs w:val="24"/>
        </w:rPr>
        <w:t>abuse of judicial process.</w:t>
      </w:r>
    </w:p>
    <w:p w14:paraId="36A7278C" w14:textId="5687D7D3" w:rsidR="0084485E" w:rsidRPr="0098319C" w:rsidRDefault="009B3D04" w:rsidP="0098319C">
      <w:pPr>
        <w:spacing w:line="276" w:lineRule="auto"/>
        <w:jc w:val="both"/>
        <w:rPr>
          <w:rFonts w:ascii="Arial" w:hAnsi="Arial" w:cs="Arial"/>
          <w:sz w:val="28"/>
          <w:szCs w:val="24"/>
          <w:u w:val="single"/>
        </w:rPr>
      </w:pPr>
      <w:r>
        <w:rPr>
          <w:rFonts w:ascii="Arial" w:hAnsi="Arial" w:cs="Arial"/>
          <w:sz w:val="24"/>
          <w:szCs w:val="24"/>
        </w:rPr>
        <w:br w:type="page"/>
      </w:r>
      <w:r w:rsidR="001800FE" w:rsidRPr="00AB7949">
        <w:rPr>
          <w:rFonts w:ascii="Arial" w:hAnsi="Arial" w:cs="Arial"/>
          <w:b/>
          <w:sz w:val="28"/>
          <w:szCs w:val="24"/>
          <w:u w:val="single"/>
        </w:rPr>
        <w:lastRenderedPageBreak/>
        <w:t>City of Cape Town v Arun Property Development</w:t>
      </w:r>
      <w:r w:rsidR="001800FE" w:rsidRPr="00422815">
        <w:rPr>
          <w:rFonts w:ascii="Arial" w:hAnsi="Arial" w:cs="Arial"/>
          <w:sz w:val="28"/>
          <w:szCs w:val="24"/>
          <w:u w:val="single"/>
        </w:rPr>
        <w:t xml:space="preserve"> 2009</w:t>
      </w:r>
      <w:r w:rsidR="00A86953">
        <w:rPr>
          <w:rFonts w:ascii="Arial" w:hAnsi="Arial" w:cs="Arial"/>
          <w:sz w:val="28"/>
          <w:szCs w:val="24"/>
          <w:u w:val="single"/>
        </w:rPr>
        <w:t xml:space="preserve"> (5) SA 227 (C)</w:t>
      </w:r>
      <w:r w:rsidR="001800FE" w:rsidRPr="00422815">
        <w:rPr>
          <w:rFonts w:ascii="Arial" w:hAnsi="Arial" w:cs="Arial"/>
          <w:sz w:val="28"/>
          <w:szCs w:val="24"/>
          <w:u w:val="single"/>
        </w:rPr>
        <w:t xml:space="preserve"> </w:t>
      </w:r>
    </w:p>
    <w:p w14:paraId="319DE02D" w14:textId="77777777" w:rsidR="0098319C" w:rsidRPr="00D31A13" w:rsidRDefault="0098319C" w:rsidP="00D31A13">
      <w:pPr>
        <w:pStyle w:val="NoSpacing"/>
        <w:spacing w:after="120" w:line="276" w:lineRule="auto"/>
        <w:jc w:val="both"/>
        <w:rPr>
          <w:rFonts w:ascii="Arial" w:hAnsi="Arial" w:cs="Arial"/>
          <w:b/>
          <w:sz w:val="24"/>
          <w:szCs w:val="24"/>
          <w:u w:val="single"/>
        </w:rPr>
      </w:pPr>
      <w:r w:rsidRPr="00D31A13">
        <w:rPr>
          <w:rFonts w:ascii="Arial" w:hAnsi="Arial" w:cs="Arial"/>
          <w:b/>
          <w:sz w:val="24"/>
          <w:szCs w:val="24"/>
          <w:u w:val="single"/>
        </w:rPr>
        <w:t>FACTS:</w:t>
      </w:r>
    </w:p>
    <w:p w14:paraId="53463F1B" w14:textId="45076B66" w:rsidR="001800FE" w:rsidRPr="00523246" w:rsidRDefault="001800FE" w:rsidP="002F231C">
      <w:pPr>
        <w:pStyle w:val="NoSpacing"/>
        <w:spacing w:line="276" w:lineRule="auto"/>
        <w:jc w:val="both"/>
        <w:rPr>
          <w:rFonts w:ascii="Arial" w:hAnsi="Arial" w:cs="Arial"/>
          <w:sz w:val="24"/>
          <w:szCs w:val="24"/>
        </w:rPr>
      </w:pPr>
      <w:r w:rsidRPr="00523246">
        <w:rPr>
          <w:rFonts w:ascii="Arial" w:hAnsi="Arial" w:cs="Arial"/>
          <w:sz w:val="24"/>
          <w:szCs w:val="24"/>
        </w:rPr>
        <w:t>A judge in chambers dismissed the</w:t>
      </w:r>
      <w:r w:rsidR="0084485E">
        <w:rPr>
          <w:rFonts w:ascii="Arial" w:hAnsi="Arial" w:cs="Arial"/>
          <w:sz w:val="24"/>
          <w:szCs w:val="24"/>
        </w:rPr>
        <w:t xml:space="preserve"> </w:t>
      </w:r>
      <w:r w:rsidRPr="00523246">
        <w:rPr>
          <w:rFonts w:ascii="Arial" w:hAnsi="Arial" w:cs="Arial"/>
          <w:sz w:val="24"/>
          <w:szCs w:val="24"/>
        </w:rPr>
        <w:t>appellant's application for the review of the taxing master's allocatur of R37 500 in respect of senior</w:t>
      </w:r>
      <w:r w:rsidR="0084485E">
        <w:rPr>
          <w:rFonts w:ascii="Arial" w:hAnsi="Arial" w:cs="Arial"/>
          <w:sz w:val="24"/>
          <w:szCs w:val="24"/>
        </w:rPr>
        <w:t xml:space="preserve"> </w:t>
      </w:r>
      <w:r w:rsidRPr="00523246">
        <w:rPr>
          <w:rFonts w:ascii="Arial" w:hAnsi="Arial" w:cs="Arial"/>
          <w:sz w:val="24"/>
          <w:szCs w:val="24"/>
        </w:rPr>
        <w:t>counsel's fees in the preparation of and attendance to argue an opposed exception to the respondent's</w:t>
      </w:r>
      <w:r w:rsidR="0084485E">
        <w:rPr>
          <w:rFonts w:ascii="Arial" w:hAnsi="Arial" w:cs="Arial"/>
          <w:sz w:val="24"/>
          <w:szCs w:val="24"/>
        </w:rPr>
        <w:t xml:space="preserve"> </w:t>
      </w:r>
      <w:r w:rsidRPr="00523246">
        <w:rPr>
          <w:rFonts w:ascii="Arial" w:hAnsi="Arial" w:cs="Arial"/>
          <w:sz w:val="24"/>
          <w:szCs w:val="24"/>
        </w:rPr>
        <w:t xml:space="preserve">particulars of </w:t>
      </w:r>
      <w:r w:rsidR="00F90F31" w:rsidRPr="00523246">
        <w:rPr>
          <w:rFonts w:ascii="Arial" w:hAnsi="Arial" w:cs="Arial"/>
          <w:sz w:val="24"/>
          <w:szCs w:val="24"/>
        </w:rPr>
        <w:t>claim and</w:t>
      </w:r>
      <w:r w:rsidRPr="00523246">
        <w:rPr>
          <w:rFonts w:ascii="Arial" w:hAnsi="Arial" w:cs="Arial"/>
          <w:sz w:val="24"/>
          <w:szCs w:val="24"/>
        </w:rPr>
        <w:t xml:space="preserve"> ordered that each party pay its own costs of the review. The composite fee </w:t>
      </w:r>
      <w:r w:rsidR="00F90F31" w:rsidRPr="00523246">
        <w:rPr>
          <w:rFonts w:ascii="Arial" w:hAnsi="Arial" w:cs="Arial"/>
          <w:sz w:val="24"/>
          <w:szCs w:val="24"/>
        </w:rPr>
        <w:t>allowed</w:t>
      </w:r>
      <w:r w:rsidR="00F90F31">
        <w:rPr>
          <w:rFonts w:ascii="Arial" w:hAnsi="Arial" w:cs="Arial"/>
          <w:sz w:val="24"/>
          <w:szCs w:val="24"/>
        </w:rPr>
        <w:t xml:space="preserve"> </w:t>
      </w:r>
      <w:r w:rsidR="00F90F31" w:rsidRPr="00523246">
        <w:rPr>
          <w:rFonts w:ascii="Arial" w:hAnsi="Arial" w:cs="Arial"/>
          <w:sz w:val="24"/>
          <w:szCs w:val="24"/>
        </w:rPr>
        <w:t>by</w:t>
      </w:r>
      <w:r w:rsidRPr="00523246">
        <w:rPr>
          <w:rFonts w:ascii="Arial" w:hAnsi="Arial" w:cs="Arial"/>
          <w:sz w:val="24"/>
          <w:szCs w:val="24"/>
        </w:rPr>
        <w:t xml:space="preserve"> the taxing master comprised senior counsel's fees for two days in court, at R15 000 per day, and a fee</w:t>
      </w:r>
      <w:r w:rsidR="0084485E">
        <w:rPr>
          <w:rFonts w:ascii="Arial" w:hAnsi="Arial" w:cs="Arial"/>
          <w:sz w:val="24"/>
          <w:szCs w:val="24"/>
        </w:rPr>
        <w:t xml:space="preserve"> </w:t>
      </w:r>
      <w:r w:rsidRPr="00523246">
        <w:rPr>
          <w:rFonts w:ascii="Arial" w:hAnsi="Arial" w:cs="Arial"/>
          <w:sz w:val="24"/>
          <w:szCs w:val="24"/>
        </w:rPr>
        <w:t>for a further five hours for preparation and drafting of heads of argument, at R1500 per hour. The actual</w:t>
      </w:r>
      <w:r w:rsidR="0084485E">
        <w:rPr>
          <w:rFonts w:ascii="Arial" w:hAnsi="Arial" w:cs="Arial"/>
          <w:sz w:val="24"/>
          <w:szCs w:val="24"/>
        </w:rPr>
        <w:t xml:space="preserve"> </w:t>
      </w:r>
      <w:r w:rsidRPr="00523246">
        <w:rPr>
          <w:rFonts w:ascii="Arial" w:hAnsi="Arial" w:cs="Arial"/>
          <w:sz w:val="24"/>
          <w:szCs w:val="24"/>
        </w:rPr>
        <w:t>amount charged by counsel was R71 250. The appellant appealed to the full bench of the same division of</w:t>
      </w:r>
      <w:r w:rsidR="0084485E">
        <w:rPr>
          <w:rFonts w:ascii="Arial" w:hAnsi="Arial" w:cs="Arial"/>
          <w:sz w:val="24"/>
          <w:szCs w:val="24"/>
        </w:rPr>
        <w:t xml:space="preserve"> </w:t>
      </w:r>
      <w:r w:rsidRPr="00523246">
        <w:rPr>
          <w:rFonts w:ascii="Arial" w:hAnsi="Arial" w:cs="Arial"/>
          <w:sz w:val="24"/>
          <w:szCs w:val="24"/>
        </w:rPr>
        <w:t>the High Court against the dismissal of the review of taxation. The appellant's principal submission was that</w:t>
      </w:r>
      <w:r w:rsidR="002F231C">
        <w:rPr>
          <w:rFonts w:ascii="Arial" w:hAnsi="Arial" w:cs="Arial"/>
          <w:sz w:val="24"/>
          <w:szCs w:val="24"/>
        </w:rPr>
        <w:t xml:space="preserve"> </w:t>
      </w:r>
      <w:r w:rsidRPr="00523246">
        <w:rPr>
          <w:rFonts w:ascii="Arial" w:hAnsi="Arial" w:cs="Arial"/>
          <w:sz w:val="24"/>
          <w:szCs w:val="24"/>
        </w:rPr>
        <w:t>the practice of allowing a composite fee on taxation of counsel's fees in an appeal was not a</w:t>
      </w:r>
      <w:r w:rsidR="0084485E">
        <w:rPr>
          <w:rFonts w:ascii="Arial" w:hAnsi="Arial" w:cs="Arial"/>
          <w:sz w:val="24"/>
          <w:szCs w:val="24"/>
        </w:rPr>
        <w:t xml:space="preserve"> </w:t>
      </w:r>
      <w:r w:rsidRPr="00523246">
        <w:rPr>
          <w:rFonts w:ascii="Arial" w:hAnsi="Arial" w:cs="Arial"/>
          <w:sz w:val="24"/>
          <w:szCs w:val="24"/>
        </w:rPr>
        <w:t>practice which was appropriate in the present matter. In the alternative, it was argued that, if a composite</w:t>
      </w:r>
      <w:r w:rsidR="0084485E">
        <w:rPr>
          <w:rFonts w:ascii="Arial" w:hAnsi="Arial" w:cs="Arial"/>
          <w:sz w:val="24"/>
          <w:szCs w:val="24"/>
        </w:rPr>
        <w:t xml:space="preserve"> </w:t>
      </w:r>
      <w:r w:rsidRPr="00523246">
        <w:rPr>
          <w:rFonts w:ascii="Arial" w:hAnsi="Arial" w:cs="Arial"/>
          <w:sz w:val="24"/>
          <w:szCs w:val="24"/>
        </w:rPr>
        <w:t>first-day fee was regarded as appropriate, the fee allowed should have been substantially higher than a</w:t>
      </w:r>
      <w:r w:rsidR="0084485E">
        <w:rPr>
          <w:rFonts w:ascii="Arial" w:hAnsi="Arial" w:cs="Arial"/>
          <w:sz w:val="24"/>
          <w:szCs w:val="24"/>
        </w:rPr>
        <w:t xml:space="preserve"> </w:t>
      </w:r>
      <w:r w:rsidRPr="00523246">
        <w:rPr>
          <w:rFonts w:ascii="Arial" w:hAnsi="Arial" w:cs="Arial"/>
          <w:sz w:val="24"/>
          <w:szCs w:val="24"/>
        </w:rPr>
        <w:t xml:space="preserve">refresher </w:t>
      </w:r>
      <w:r w:rsidR="00F90F31" w:rsidRPr="00523246">
        <w:rPr>
          <w:rFonts w:ascii="Arial" w:hAnsi="Arial" w:cs="Arial"/>
          <w:sz w:val="24"/>
          <w:szCs w:val="24"/>
        </w:rPr>
        <w:t>fee and</w:t>
      </w:r>
      <w:r w:rsidRPr="00523246">
        <w:rPr>
          <w:rFonts w:ascii="Arial" w:hAnsi="Arial" w:cs="Arial"/>
          <w:sz w:val="24"/>
          <w:szCs w:val="24"/>
        </w:rPr>
        <w:t xml:space="preserve"> should have made provision for the reasonable time expended by counsel in</w:t>
      </w:r>
      <w:r w:rsidR="0084485E">
        <w:rPr>
          <w:rFonts w:ascii="Arial" w:hAnsi="Arial" w:cs="Arial"/>
          <w:sz w:val="24"/>
          <w:szCs w:val="24"/>
        </w:rPr>
        <w:t xml:space="preserve"> </w:t>
      </w:r>
      <w:r w:rsidRPr="00523246">
        <w:rPr>
          <w:rFonts w:ascii="Arial" w:hAnsi="Arial" w:cs="Arial"/>
          <w:sz w:val="24"/>
          <w:szCs w:val="24"/>
        </w:rPr>
        <w:t>drafting heads of argument and preparing for the hearing.</w:t>
      </w:r>
      <w:r w:rsidR="00B608B5">
        <w:rPr>
          <w:rFonts w:ascii="Arial" w:hAnsi="Arial" w:cs="Arial"/>
          <w:sz w:val="24"/>
          <w:szCs w:val="24"/>
        </w:rPr>
        <w:t xml:space="preserve"> </w:t>
      </w:r>
      <w:r w:rsidRPr="00523246">
        <w:rPr>
          <w:rFonts w:ascii="Arial" w:hAnsi="Arial" w:cs="Arial"/>
          <w:sz w:val="24"/>
          <w:szCs w:val="24"/>
        </w:rPr>
        <w:t>T</w:t>
      </w:r>
      <w:r w:rsidR="008C1EBA">
        <w:rPr>
          <w:rFonts w:ascii="Arial" w:hAnsi="Arial" w:cs="Arial"/>
          <w:sz w:val="24"/>
          <w:szCs w:val="24"/>
        </w:rPr>
        <w:t>he court held that t</w:t>
      </w:r>
      <w:r w:rsidRPr="00523246">
        <w:rPr>
          <w:rFonts w:ascii="Arial" w:hAnsi="Arial" w:cs="Arial"/>
          <w:sz w:val="24"/>
          <w:szCs w:val="24"/>
        </w:rPr>
        <w:t>he taxing master had been obliged to exercise her discretion to allow, reduce or reject items in the bill of</w:t>
      </w:r>
      <w:r w:rsidR="0084485E">
        <w:rPr>
          <w:rFonts w:ascii="Arial" w:hAnsi="Arial" w:cs="Arial"/>
          <w:sz w:val="24"/>
          <w:szCs w:val="24"/>
        </w:rPr>
        <w:t xml:space="preserve"> </w:t>
      </w:r>
      <w:r w:rsidRPr="00523246">
        <w:rPr>
          <w:rFonts w:ascii="Arial" w:hAnsi="Arial" w:cs="Arial"/>
          <w:sz w:val="24"/>
          <w:szCs w:val="24"/>
        </w:rPr>
        <w:t>costs judicially, that is, reasonably, justly and on the basis of sound principles. Even had she done so, a</w:t>
      </w:r>
      <w:r w:rsidR="0084485E">
        <w:rPr>
          <w:rFonts w:ascii="Arial" w:hAnsi="Arial" w:cs="Arial"/>
          <w:sz w:val="24"/>
          <w:szCs w:val="24"/>
        </w:rPr>
        <w:t xml:space="preserve"> </w:t>
      </w:r>
      <w:r w:rsidRPr="00523246">
        <w:rPr>
          <w:rFonts w:ascii="Arial" w:hAnsi="Arial" w:cs="Arial"/>
          <w:sz w:val="24"/>
          <w:szCs w:val="24"/>
        </w:rPr>
        <w:t>court would be entitled to interfere on review if the decision had been based on a misinterpretation</w:t>
      </w:r>
      <w:r w:rsidR="0084485E">
        <w:rPr>
          <w:rFonts w:ascii="Arial" w:hAnsi="Arial" w:cs="Arial"/>
          <w:sz w:val="24"/>
          <w:szCs w:val="24"/>
        </w:rPr>
        <w:t xml:space="preserve"> </w:t>
      </w:r>
      <w:r w:rsidRPr="00523246">
        <w:rPr>
          <w:rFonts w:ascii="Arial" w:hAnsi="Arial" w:cs="Arial"/>
          <w:sz w:val="24"/>
          <w:szCs w:val="24"/>
        </w:rPr>
        <w:t>of the law, a misconception as to the facts and circumstances, or misunderstanding of court practice.</w:t>
      </w:r>
    </w:p>
    <w:p w14:paraId="48EFD636" w14:textId="25120FAC" w:rsidR="001800FE" w:rsidRPr="00D31A13" w:rsidRDefault="001800FE" w:rsidP="002F231C">
      <w:pPr>
        <w:pStyle w:val="NoSpacing"/>
        <w:spacing w:line="276" w:lineRule="auto"/>
        <w:jc w:val="both"/>
        <w:rPr>
          <w:rFonts w:ascii="Arial" w:hAnsi="Arial" w:cs="Arial"/>
          <w:sz w:val="16"/>
          <w:szCs w:val="16"/>
        </w:rPr>
      </w:pPr>
    </w:p>
    <w:p w14:paraId="33887E3B" w14:textId="085E65A1" w:rsidR="001800FE" w:rsidRDefault="00B16E0B" w:rsidP="002F231C">
      <w:pPr>
        <w:pStyle w:val="NoSpacing"/>
        <w:spacing w:line="276" w:lineRule="auto"/>
        <w:jc w:val="both"/>
        <w:rPr>
          <w:rFonts w:ascii="Arial" w:hAnsi="Arial" w:cs="Arial"/>
          <w:sz w:val="24"/>
          <w:szCs w:val="24"/>
        </w:rPr>
      </w:pPr>
      <w:r>
        <w:rPr>
          <w:rFonts w:ascii="Arial" w:hAnsi="Arial" w:cs="Arial"/>
          <w:sz w:val="24"/>
          <w:szCs w:val="24"/>
        </w:rPr>
        <w:t xml:space="preserve">The court held further </w:t>
      </w:r>
      <w:r w:rsidR="001800FE" w:rsidRPr="00523246">
        <w:rPr>
          <w:rFonts w:ascii="Arial" w:hAnsi="Arial" w:cs="Arial"/>
          <w:sz w:val="24"/>
          <w:szCs w:val="24"/>
        </w:rPr>
        <w:t>t</w:t>
      </w:r>
      <w:r>
        <w:rPr>
          <w:rFonts w:ascii="Arial" w:hAnsi="Arial" w:cs="Arial"/>
          <w:sz w:val="24"/>
          <w:szCs w:val="24"/>
        </w:rPr>
        <w:t>hat it</w:t>
      </w:r>
      <w:r w:rsidR="001800FE" w:rsidRPr="00523246">
        <w:rPr>
          <w:rFonts w:ascii="Arial" w:hAnsi="Arial" w:cs="Arial"/>
          <w:sz w:val="24"/>
          <w:szCs w:val="24"/>
        </w:rPr>
        <w:t xml:space="preserve"> was correct for the purpose of taxing a party and party bill to take preparation and a refresher or day</w:t>
      </w:r>
      <w:r w:rsidR="00B753F3">
        <w:rPr>
          <w:rFonts w:ascii="Arial" w:hAnsi="Arial" w:cs="Arial"/>
          <w:sz w:val="24"/>
          <w:szCs w:val="24"/>
        </w:rPr>
        <w:t xml:space="preserve"> </w:t>
      </w:r>
      <w:r w:rsidR="001800FE" w:rsidRPr="00523246">
        <w:rPr>
          <w:rFonts w:ascii="Arial" w:hAnsi="Arial" w:cs="Arial"/>
          <w:sz w:val="24"/>
          <w:szCs w:val="24"/>
        </w:rPr>
        <w:t>fee together for the purpose of assessing the reasonableness of counsel's fee. It made no difference</w:t>
      </w:r>
      <w:r w:rsidR="00B753F3">
        <w:rPr>
          <w:rFonts w:ascii="Arial" w:hAnsi="Arial" w:cs="Arial"/>
          <w:sz w:val="24"/>
          <w:szCs w:val="24"/>
        </w:rPr>
        <w:t xml:space="preserve"> </w:t>
      </w:r>
      <w:r w:rsidR="001800FE" w:rsidRPr="00523246">
        <w:rPr>
          <w:rFonts w:ascii="Arial" w:hAnsi="Arial" w:cs="Arial"/>
          <w:sz w:val="24"/>
          <w:szCs w:val="24"/>
        </w:rPr>
        <w:t>that the fee was charged for an exception rather than an appeal or application, or even a trial.</w:t>
      </w:r>
      <w:r w:rsidR="00B753F3">
        <w:rPr>
          <w:rFonts w:ascii="Arial" w:hAnsi="Arial" w:cs="Arial"/>
          <w:sz w:val="24"/>
          <w:szCs w:val="24"/>
        </w:rPr>
        <w:t xml:space="preserve"> </w:t>
      </w:r>
      <w:r w:rsidR="001800FE" w:rsidRPr="00523246">
        <w:rPr>
          <w:rFonts w:ascii="Arial" w:hAnsi="Arial" w:cs="Arial"/>
          <w:sz w:val="24"/>
          <w:szCs w:val="24"/>
        </w:rPr>
        <w:t>It was held that in determining the reasonableness or otherwise of counsel's fee for the purpose of</w:t>
      </w:r>
      <w:r w:rsidR="00B753F3">
        <w:rPr>
          <w:rFonts w:ascii="Arial" w:hAnsi="Arial" w:cs="Arial"/>
          <w:sz w:val="24"/>
          <w:szCs w:val="24"/>
        </w:rPr>
        <w:t xml:space="preserve"> </w:t>
      </w:r>
      <w:r w:rsidR="001800FE" w:rsidRPr="00523246">
        <w:rPr>
          <w:rFonts w:ascii="Arial" w:hAnsi="Arial" w:cs="Arial"/>
          <w:sz w:val="24"/>
          <w:szCs w:val="24"/>
        </w:rPr>
        <w:t>the taxation of a party and party bill, the taxing master was required to take into account, among other</w:t>
      </w:r>
      <w:r w:rsidR="00B753F3">
        <w:rPr>
          <w:rFonts w:ascii="Arial" w:hAnsi="Arial" w:cs="Arial"/>
          <w:sz w:val="24"/>
          <w:szCs w:val="24"/>
        </w:rPr>
        <w:t xml:space="preserve"> </w:t>
      </w:r>
      <w:r w:rsidR="001800FE" w:rsidRPr="00523246">
        <w:rPr>
          <w:rFonts w:ascii="Arial" w:hAnsi="Arial" w:cs="Arial"/>
          <w:sz w:val="24"/>
          <w:szCs w:val="24"/>
        </w:rPr>
        <w:t>factors, the complexity of the matter, the volume of the case, the level of counsel's fees (the actual</w:t>
      </w:r>
      <w:r w:rsidR="00B753F3">
        <w:rPr>
          <w:rFonts w:ascii="Arial" w:hAnsi="Arial" w:cs="Arial"/>
          <w:sz w:val="24"/>
          <w:szCs w:val="24"/>
        </w:rPr>
        <w:t xml:space="preserve"> </w:t>
      </w:r>
      <w:r w:rsidR="001800FE" w:rsidRPr="00523246">
        <w:rPr>
          <w:rFonts w:ascii="Arial" w:hAnsi="Arial" w:cs="Arial"/>
          <w:sz w:val="24"/>
          <w:szCs w:val="24"/>
        </w:rPr>
        <w:t>fees charged rendered as a globular sum), inflation and the fact that counsel had to be fairly</w:t>
      </w:r>
      <w:r w:rsidR="00B753F3">
        <w:rPr>
          <w:rFonts w:ascii="Arial" w:hAnsi="Arial" w:cs="Arial"/>
          <w:sz w:val="24"/>
          <w:szCs w:val="24"/>
        </w:rPr>
        <w:t xml:space="preserve"> </w:t>
      </w:r>
      <w:r w:rsidR="001800FE" w:rsidRPr="00523246">
        <w:rPr>
          <w:rFonts w:ascii="Arial" w:hAnsi="Arial" w:cs="Arial"/>
          <w:sz w:val="24"/>
          <w:szCs w:val="24"/>
        </w:rPr>
        <w:t>compensated for preparation and presentation of argument.</w:t>
      </w:r>
    </w:p>
    <w:p w14:paraId="286D7FDF" w14:textId="77777777" w:rsidR="004D2D17" w:rsidRPr="00D31A13" w:rsidRDefault="004D2D17" w:rsidP="002F231C">
      <w:pPr>
        <w:pStyle w:val="NoSpacing"/>
        <w:spacing w:line="276" w:lineRule="auto"/>
        <w:jc w:val="both"/>
        <w:rPr>
          <w:rFonts w:ascii="Arial" w:hAnsi="Arial" w:cs="Arial"/>
          <w:sz w:val="16"/>
          <w:szCs w:val="16"/>
        </w:rPr>
      </w:pPr>
    </w:p>
    <w:p w14:paraId="66501708" w14:textId="76F99C40" w:rsidR="001800FE" w:rsidRPr="00523246" w:rsidRDefault="001800FE" w:rsidP="002F231C">
      <w:pPr>
        <w:pStyle w:val="NoSpacing"/>
        <w:spacing w:line="276" w:lineRule="auto"/>
        <w:jc w:val="both"/>
        <w:rPr>
          <w:rFonts w:ascii="Arial" w:hAnsi="Arial" w:cs="Arial"/>
          <w:sz w:val="24"/>
          <w:szCs w:val="24"/>
        </w:rPr>
      </w:pPr>
      <w:r w:rsidRPr="00523246">
        <w:rPr>
          <w:rFonts w:ascii="Arial" w:hAnsi="Arial" w:cs="Arial"/>
          <w:sz w:val="24"/>
          <w:szCs w:val="24"/>
        </w:rPr>
        <w:t>It was held that the taxing master ought to have approached the taxation in the present matter along the</w:t>
      </w:r>
      <w:r w:rsidR="00B753F3">
        <w:rPr>
          <w:rFonts w:ascii="Arial" w:hAnsi="Arial" w:cs="Arial"/>
          <w:sz w:val="24"/>
          <w:szCs w:val="24"/>
        </w:rPr>
        <w:t xml:space="preserve"> </w:t>
      </w:r>
      <w:r w:rsidRPr="00523246">
        <w:rPr>
          <w:rFonts w:ascii="Arial" w:hAnsi="Arial" w:cs="Arial"/>
          <w:sz w:val="24"/>
          <w:szCs w:val="24"/>
        </w:rPr>
        <w:t>following lines:</w:t>
      </w:r>
    </w:p>
    <w:p w14:paraId="17517EA3" w14:textId="003A43C9" w:rsidR="001800FE" w:rsidRPr="00B114A8" w:rsidRDefault="001800FE" w:rsidP="002F231C">
      <w:pPr>
        <w:pStyle w:val="NoSpacing"/>
        <w:spacing w:line="276" w:lineRule="auto"/>
        <w:jc w:val="both"/>
        <w:rPr>
          <w:rFonts w:ascii="Arial" w:hAnsi="Arial" w:cs="Arial"/>
          <w:b/>
          <w:sz w:val="24"/>
          <w:szCs w:val="24"/>
          <w:u w:val="single"/>
        </w:rPr>
      </w:pPr>
      <w:r w:rsidRPr="00B114A8">
        <w:rPr>
          <w:rFonts w:ascii="Arial" w:hAnsi="Arial" w:cs="Arial"/>
          <w:b/>
          <w:sz w:val="24"/>
          <w:szCs w:val="24"/>
        </w:rPr>
        <w:t>- (a)</w:t>
      </w:r>
      <w:r w:rsidRPr="00523246">
        <w:rPr>
          <w:rFonts w:ascii="Arial" w:hAnsi="Arial" w:cs="Arial"/>
          <w:sz w:val="24"/>
          <w:szCs w:val="24"/>
        </w:rPr>
        <w:t xml:space="preserve"> </w:t>
      </w:r>
      <w:r w:rsidRPr="00B114A8">
        <w:rPr>
          <w:rFonts w:ascii="Arial" w:hAnsi="Arial" w:cs="Arial"/>
          <w:b/>
          <w:sz w:val="24"/>
          <w:szCs w:val="24"/>
          <w:u w:val="single"/>
        </w:rPr>
        <w:t xml:space="preserve">she ought to have given consideration to the importance of the matter, </w:t>
      </w:r>
      <w:r w:rsidR="00F90F31" w:rsidRPr="00B114A8">
        <w:rPr>
          <w:rFonts w:ascii="Arial" w:hAnsi="Arial" w:cs="Arial"/>
          <w:b/>
          <w:sz w:val="24"/>
          <w:szCs w:val="24"/>
          <w:u w:val="single"/>
        </w:rPr>
        <w:t xml:space="preserve">its </w:t>
      </w:r>
      <w:r w:rsidR="00F90F31">
        <w:rPr>
          <w:rFonts w:ascii="Arial" w:hAnsi="Arial" w:cs="Arial"/>
          <w:b/>
          <w:sz w:val="24"/>
          <w:szCs w:val="24"/>
          <w:u w:val="single"/>
        </w:rPr>
        <w:t>financial</w:t>
      </w:r>
      <w:r w:rsidRPr="00B114A8">
        <w:rPr>
          <w:rFonts w:ascii="Arial" w:hAnsi="Arial" w:cs="Arial"/>
          <w:b/>
          <w:sz w:val="24"/>
          <w:szCs w:val="24"/>
          <w:u w:val="single"/>
        </w:rPr>
        <w:t xml:space="preserve"> value to</w:t>
      </w:r>
      <w:r w:rsidR="00B753F3" w:rsidRPr="00B114A8">
        <w:rPr>
          <w:rFonts w:ascii="Arial" w:hAnsi="Arial" w:cs="Arial"/>
          <w:b/>
          <w:sz w:val="24"/>
          <w:szCs w:val="24"/>
          <w:u w:val="single"/>
        </w:rPr>
        <w:t xml:space="preserve"> </w:t>
      </w:r>
      <w:r w:rsidRPr="00B114A8">
        <w:rPr>
          <w:rFonts w:ascii="Arial" w:hAnsi="Arial" w:cs="Arial"/>
          <w:b/>
          <w:sz w:val="24"/>
          <w:szCs w:val="24"/>
          <w:u w:val="single"/>
        </w:rPr>
        <w:t>the parties and the complexity of the issues raised and/or required to be canvassed. In that regard,</w:t>
      </w:r>
      <w:r w:rsidR="00B753F3" w:rsidRPr="00B114A8">
        <w:rPr>
          <w:rFonts w:ascii="Arial" w:hAnsi="Arial" w:cs="Arial"/>
          <w:b/>
          <w:sz w:val="24"/>
          <w:szCs w:val="24"/>
          <w:u w:val="single"/>
        </w:rPr>
        <w:t xml:space="preserve"> </w:t>
      </w:r>
      <w:r w:rsidRPr="00B114A8">
        <w:rPr>
          <w:rFonts w:ascii="Arial" w:hAnsi="Arial" w:cs="Arial"/>
          <w:b/>
          <w:sz w:val="24"/>
          <w:szCs w:val="24"/>
          <w:u w:val="single"/>
        </w:rPr>
        <w:t>she ought to have had regard to the nature of the matter, the issues in dispute, the volume of the</w:t>
      </w:r>
      <w:r w:rsidR="00B753F3" w:rsidRPr="00B114A8">
        <w:rPr>
          <w:rFonts w:ascii="Arial" w:hAnsi="Arial" w:cs="Arial"/>
          <w:b/>
          <w:sz w:val="24"/>
          <w:szCs w:val="24"/>
          <w:u w:val="single"/>
        </w:rPr>
        <w:t xml:space="preserve"> </w:t>
      </w:r>
      <w:r w:rsidRPr="00B114A8">
        <w:rPr>
          <w:rFonts w:ascii="Arial" w:hAnsi="Arial" w:cs="Arial"/>
          <w:b/>
          <w:sz w:val="24"/>
          <w:szCs w:val="24"/>
          <w:u w:val="single"/>
        </w:rPr>
        <w:t xml:space="preserve">record and such other factors </w:t>
      </w:r>
      <w:r w:rsidRPr="00B114A8">
        <w:rPr>
          <w:rFonts w:ascii="Arial" w:hAnsi="Arial" w:cs="Arial"/>
          <w:b/>
          <w:sz w:val="24"/>
          <w:szCs w:val="24"/>
          <w:u w:val="single"/>
        </w:rPr>
        <w:lastRenderedPageBreak/>
        <w:t>as might have assisted her in obtaining an impression of the matter</w:t>
      </w:r>
      <w:r w:rsidR="00B753F3" w:rsidRPr="00B114A8">
        <w:rPr>
          <w:rFonts w:ascii="Arial" w:hAnsi="Arial" w:cs="Arial"/>
          <w:b/>
          <w:sz w:val="24"/>
          <w:szCs w:val="24"/>
          <w:u w:val="single"/>
        </w:rPr>
        <w:t xml:space="preserve"> </w:t>
      </w:r>
      <w:r w:rsidRPr="00B114A8">
        <w:rPr>
          <w:rFonts w:ascii="Arial" w:hAnsi="Arial" w:cs="Arial"/>
          <w:b/>
          <w:sz w:val="24"/>
          <w:szCs w:val="24"/>
          <w:u w:val="single"/>
        </w:rPr>
        <w:t>relevant to assessing its</w:t>
      </w:r>
      <w:r w:rsidR="00B753F3" w:rsidRPr="00B114A8">
        <w:rPr>
          <w:rFonts w:ascii="Arial" w:hAnsi="Arial" w:cs="Arial"/>
          <w:b/>
          <w:sz w:val="24"/>
          <w:szCs w:val="24"/>
          <w:u w:val="single"/>
        </w:rPr>
        <w:t xml:space="preserve"> </w:t>
      </w:r>
      <w:r w:rsidRPr="00B114A8">
        <w:rPr>
          <w:rFonts w:ascii="Arial" w:hAnsi="Arial" w:cs="Arial"/>
          <w:b/>
          <w:sz w:val="24"/>
          <w:szCs w:val="24"/>
          <w:u w:val="single"/>
        </w:rPr>
        <w:t>importance and complexity;</w:t>
      </w:r>
    </w:p>
    <w:p w14:paraId="79C413A9" w14:textId="16346B66" w:rsidR="001800FE" w:rsidRPr="00B114A8" w:rsidRDefault="001800FE" w:rsidP="002F231C">
      <w:pPr>
        <w:pStyle w:val="NoSpacing"/>
        <w:spacing w:line="276" w:lineRule="auto"/>
        <w:jc w:val="both"/>
        <w:rPr>
          <w:rFonts w:ascii="Arial" w:hAnsi="Arial" w:cs="Arial"/>
          <w:b/>
          <w:sz w:val="24"/>
          <w:szCs w:val="24"/>
          <w:u w:val="single"/>
        </w:rPr>
      </w:pPr>
      <w:r w:rsidRPr="00B114A8">
        <w:rPr>
          <w:rFonts w:ascii="Arial" w:hAnsi="Arial" w:cs="Arial"/>
          <w:b/>
          <w:sz w:val="24"/>
          <w:szCs w:val="24"/>
        </w:rPr>
        <w:t>- (b)</w:t>
      </w:r>
      <w:r w:rsidRPr="00B114A8">
        <w:rPr>
          <w:rFonts w:ascii="Arial" w:hAnsi="Arial" w:cs="Arial"/>
          <w:b/>
          <w:sz w:val="24"/>
          <w:szCs w:val="24"/>
          <w:u w:val="single"/>
        </w:rPr>
        <w:t xml:space="preserve"> she ought to have given consideration to the work actually done by counsel and the rate at which</w:t>
      </w:r>
      <w:r w:rsidR="00B753F3" w:rsidRPr="00B114A8">
        <w:rPr>
          <w:rFonts w:ascii="Arial" w:hAnsi="Arial" w:cs="Arial"/>
          <w:b/>
          <w:sz w:val="24"/>
          <w:szCs w:val="24"/>
          <w:u w:val="single"/>
        </w:rPr>
        <w:t xml:space="preserve"> </w:t>
      </w:r>
      <w:r w:rsidRPr="00B114A8">
        <w:rPr>
          <w:rFonts w:ascii="Arial" w:hAnsi="Arial" w:cs="Arial"/>
          <w:b/>
          <w:sz w:val="24"/>
          <w:szCs w:val="24"/>
          <w:u w:val="single"/>
        </w:rPr>
        <w:t>he charged; and</w:t>
      </w:r>
    </w:p>
    <w:p w14:paraId="72334250" w14:textId="77777777" w:rsidR="001800FE" w:rsidRPr="00B114A8" w:rsidRDefault="001800FE" w:rsidP="00B114A8">
      <w:pPr>
        <w:pStyle w:val="NoSpacing"/>
        <w:spacing w:after="60" w:line="276" w:lineRule="auto"/>
        <w:jc w:val="both"/>
        <w:rPr>
          <w:rFonts w:ascii="Arial" w:hAnsi="Arial" w:cs="Arial"/>
          <w:b/>
          <w:sz w:val="24"/>
          <w:szCs w:val="24"/>
          <w:u w:val="single"/>
        </w:rPr>
      </w:pPr>
      <w:r w:rsidRPr="00B114A8">
        <w:rPr>
          <w:rFonts w:ascii="Arial" w:hAnsi="Arial" w:cs="Arial"/>
          <w:b/>
          <w:sz w:val="24"/>
          <w:szCs w:val="24"/>
        </w:rPr>
        <w:t>- (c)</w:t>
      </w:r>
      <w:r w:rsidRPr="00B114A8">
        <w:rPr>
          <w:rFonts w:ascii="Arial" w:hAnsi="Arial" w:cs="Arial"/>
          <w:b/>
          <w:sz w:val="24"/>
          <w:szCs w:val="24"/>
          <w:u w:val="single"/>
        </w:rPr>
        <w:t xml:space="preserve"> she ought to have made an assessment of the reasonableness of counsel's fees.</w:t>
      </w:r>
    </w:p>
    <w:p w14:paraId="47E842C0" w14:textId="514C4063" w:rsidR="009A111E" w:rsidRDefault="001800FE" w:rsidP="00B114A8">
      <w:pPr>
        <w:pStyle w:val="NoSpacing"/>
        <w:spacing w:after="60" w:line="276" w:lineRule="auto"/>
        <w:jc w:val="both"/>
        <w:rPr>
          <w:rFonts w:ascii="Arial" w:hAnsi="Arial" w:cs="Arial"/>
          <w:sz w:val="24"/>
          <w:szCs w:val="24"/>
        </w:rPr>
      </w:pPr>
      <w:r w:rsidRPr="00523246">
        <w:rPr>
          <w:rFonts w:ascii="Arial" w:hAnsi="Arial" w:cs="Arial"/>
          <w:sz w:val="24"/>
          <w:szCs w:val="24"/>
        </w:rPr>
        <w:t>The taxing master had, in allowing only five hours for the drafting or settling of heads of argument, clearly</w:t>
      </w:r>
      <w:r w:rsidR="00B753F3">
        <w:rPr>
          <w:rFonts w:ascii="Arial" w:hAnsi="Arial" w:cs="Arial"/>
          <w:sz w:val="24"/>
          <w:szCs w:val="24"/>
        </w:rPr>
        <w:t xml:space="preserve"> </w:t>
      </w:r>
      <w:r w:rsidRPr="00523246">
        <w:rPr>
          <w:rFonts w:ascii="Arial" w:hAnsi="Arial" w:cs="Arial"/>
          <w:sz w:val="24"/>
          <w:szCs w:val="24"/>
        </w:rPr>
        <w:t>not taken the appropriate considerations into account. She ought, in view of the complexity of the</w:t>
      </w:r>
      <w:r w:rsidR="00B753F3">
        <w:rPr>
          <w:rFonts w:ascii="Arial" w:hAnsi="Arial" w:cs="Arial"/>
          <w:sz w:val="24"/>
          <w:szCs w:val="24"/>
        </w:rPr>
        <w:t xml:space="preserve"> </w:t>
      </w:r>
      <w:r w:rsidRPr="00523246">
        <w:rPr>
          <w:rFonts w:ascii="Arial" w:hAnsi="Arial" w:cs="Arial"/>
          <w:sz w:val="24"/>
          <w:szCs w:val="24"/>
        </w:rPr>
        <w:t>matter and the volume of the case, have had regard to the time counsel had actually and productively</w:t>
      </w:r>
      <w:r w:rsidR="00B753F3">
        <w:rPr>
          <w:rFonts w:ascii="Arial" w:hAnsi="Arial" w:cs="Arial"/>
          <w:sz w:val="24"/>
          <w:szCs w:val="24"/>
        </w:rPr>
        <w:t xml:space="preserve"> </w:t>
      </w:r>
      <w:r w:rsidRPr="00523246">
        <w:rPr>
          <w:rFonts w:ascii="Arial" w:hAnsi="Arial" w:cs="Arial"/>
          <w:sz w:val="24"/>
          <w:szCs w:val="24"/>
        </w:rPr>
        <w:t>spent on the matter, and allowed substantially more than she did. The appeal was upheld and the</w:t>
      </w:r>
      <w:r w:rsidR="00B753F3">
        <w:rPr>
          <w:rFonts w:ascii="Arial" w:hAnsi="Arial" w:cs="Arial"/>
          <w:sz w:val="24"/>
          <w:szCs w:val="24"/>
        </w:rPr>
        <w:t xml:space="preserve"> </w:t>
      </w:r>
      <w:r w:rsidRPr="00523246">
        <w:rPr>
          <w:rFonts w:ascii="Arial" w:hAnsi="Arial" w:cs="Arial"/>
          <w:sz w:val="24"/>
          <w:szCs w:val="24"/>
        </w:rPr>
        <w:t>allocatur set aside and the matter referred back to the taxing master for fresh taxation.</w:t>
      </w:r>
      <w:r w:rsidR="00B753F3">
        <w:rPr>
          <w:rFonts w:ascii="Arial" w:hAnsi="Arial" w:cs="Arial"/>
          <w:sz w:val="24"/>
          <w:szCs w:val="24"/>
        </w:rPr>
        <w:t xml:space="preserve"> </w:t>
      </w:r>
    </w:p>
    <w:p w14:paraId="4C8126C2" w14:textId="754EEA1B" w:rsidR="00F43C09" w:rsidRDefault="00BB4483" w:rsidP="00F43C09">
      <w:pPr>
        <w:pStyle w:val="NoSpacing"/>
        <w:spacing w:line="276" w:lineRule="auto"/>
        <w:jc w:val="both"/>
        <w:rPr>
          <w:rFonts w:ascii="Arial" w:hAnsi="Arial" w:cs="Arial"/>
          <w:sz w:val="24"/>
          <w:szCs w:val="24"/>
        </w:rPr>
      </w:pPr>
      <w:r w:rsidRPr="007807BE">
        <w:rPr>
          <w:rFonts w:ascii="Arial" w:eastAsiaTheme="minorHAnsi" w:hAnsi="Arial" w:cs="Arial"/>
          <w:noProof/>
          <w:sz w:val="24"/>
          <w:szCs w:val="24"/>
        </w:rPr>
        <mc:AlternateContent>
          <mc:Choice Requires="wps">
            <w:drawing>
              <wp:anchor distT="45720" distB="45720" distL="114300" distR="114300" simplePos="0" relativeHeight="251667456" behindDoc="0" locked="0" layoutInCell="1" allowOverlap="1" wp14:anchorId="20C24AC0" wp14:editId="2C6B2076">
                <wp:simplePos x="0" y="0"/>
                <wp:positionH relativeFrom="margin">
                  <wp:posOffset>-285750</wp:posOffset>
                </wp:positionH>
                <wp:positionV relativeFrom="paragraph">
                  <wp:posOffset>1249045</wp:posOffset>
                </wp:positionV>
                <wp:extent cx="6781800" cy="4448175"/>
                <wp:effectExtent l="0" t="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4448175"/>
                        </a:xfrm>
                        <a:prstGeom prst="rect">
                          <a:avLst/>
                        </a:prstGeom>
                        <a:solidFill>
                          <a:srgbClr val="FFFFFF"/>
                        </a:solidFill>
                        <a:ln w="9525">
                          <a:solidFill>
                            <a:srgbClr val="000000"/>
                          </a:solidFill>
                          <a:miter lim="800000"/>
                          <a:headEnd/>
                          <a:tailEnd/>
                        </a:ln>
                      </wps:spPr>
                      <wps:txbx>
                        <w:txbxContent>
                          <w:p w14:paraId="7705E9F4" w14:textId="310E60B2" w:rsidR="00061CDF" w:rsidRPr="0007135D" w:rsidRDefault="00667183" w:rsidP="00EC0F3A">
                            <w:pPr>
                              <w:spacing w:after="4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r w:rsidR="0007135D">
                              <w:rPr>
                                <w:rFonts w:ascii="Times New Roman" w:hAnsi="Times New Roman" w:cs="Times New Roman"/>
                                <w:b/>
                                <w:i/>
                                <w:sz w:val="22"/>
                                <w:szCs w:val="22"/>
                              </w:rPr>
                              <w:t xml:space="preserve"> at </w:t>
                            </w:r>
                            <w:r w:rsidR="001A74E6">
                              <w:rPr>
                                <w:rFonts w:ascii="Times New Roman" w:hAnsi="Times New Roman" w:cs="Times New Roman"/>
                                <w:b/>
                                <w:i/>
                                <w:sz w:val="22"/>
                                <w:szCs w:val="22"/>
                              </w:rPr>
                              <w:t>237</w:t>
                            </w:r>
                            <w:r>
                              <w:rPr>
                                <w:rFonts w:ascii="Times New Roman" w:hAnsi="Times New Roman" w:cs="Times New Roman"/>
                                <w:b/>
                                <w:i/>
                                <w:sz w:val="22"/>
                                <w:szCs w:val="22"/>
                              </w:rPr>
                              <w:t>A-</w:t>
                            </w:r>
                            <w:r w:rsidR="001A74E6">
                              <w:rPr>
                                <w:rFonts w:ascii="Times New Roman" w:hAnsi="Times New Roman" w:cs="Times New Roman"/>
                                <w:b/>
                                <w:i/>
                                <w:sz w:val="22"/>
                                <w:szCs w:val="22"/>
                              </w:rPr>
                              <w:t>H</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1D2976">
                              <w:rPr>
                                <w:rFonts w:ascii="Times New Roman" w:hAnsi="Times New Roman" w:cs="Times New Roman"/>
                                <w:i/>
                                <w:sz w:val="22"/>
                                <w:szCs w:val="22"/>
                              </w:rPr>
                              <w:t>..</w:t>
                            </w:r>
                            <w:r w:rsidRPr="000C796A">
                              <w:rPr>
                                <w:rFonts w:ascii="Times New Roman" w:hAnsi="Times New Roman" w:cs="Times New Roman"/>
                                <w:i/>
                                <w:sz w:val="22"/>
                                <w:szCs w:val="22"/>
                              </w:rPr>
                              <w:t>.</w:t>
                            </w:r>
                            <w:r w:rsidR="001D2976">
                              <w:rPr>
                                <w:rFonts w:ascii="Times New Roman" w:hAnsi="Times New Roman" w:cs="Times New Roman"/>
                                <w:i/>
                                <w:sz w:val="22"/>
                                <w:szCs w:val="22"/>
                              </w:rPr>
                              <w:t xml:space="preserve"> </w:t>
                            </w:r>
                            <w:r w:rsidR="008A307D" w:rsidRPr="008A307D">
                              <w:rPr>
                                <w:rFonts w:ascii="Times New Roman" w:hAnsi="Times New Roman" w:cs="Times New Roman"/>
                                <w:i/>
                                <w:sz w:val="22"/>
                                <w:szCs w:val="22"/>
                              </w:rPr>
                              <w:t>in matters of this nature I would expect the taxing master in considering the question of counsel's fees to adopt an approach along the following lines:</w:t>
                            </w:r>
                          </w:p>
                          <w:p w14:paraId="7929CD1B" w14:textId="73E01802" w:rsidR="00061CDF" w:rsidRPr="007C58EE" w:rsidRDefault="008A307D" w:rsidP="00EC0F3A">
                            <w:pPr>
                              <w:spacing w:after="40" w:line="276" w:lineRule="auto"/>
                              <w:jc w:val="both"/>
                              <w:rPr>
                                <w:rFonts w:ascii="Times New Roman" w:hAnsi="Times New Roman" w:cs="Times New Roman"/>
                                <w:i/>
                                <w:sz w:val="22"/>
                                <w:szCs w:val="22"/>
                                <w:u w:val="single"/>
                              </w:rPr>
                            </w:pPr>
                            <w:r w:rsidRPr="008A307D">
                              <w:rPr>
                                <w:rFonts w:ascii="Times New Roman" w:hAnsi="Times New Roman" w:cs="Times New Roman"/>
                                <w:i/>
                                <w:iCs/>
                                <w:sz w:val="22"/>
                                <w:szCs w:val="22"/>
                              </w:rPr>
                              <w:t>(a)</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nature and complexity of the matter</w:t>
                            </w:r>
                            <w:r w:rsidRPr="008A307D">
                              <w:rPr>
                                <w:rFonts w:ascii="Times New Roman" w:hAnsi="Times New Roman" w:cs="Times New Roman"/>
                                <w:i/>
                                <w:sz w:val="22"/>
                                <w:szCs w:val="22"/>
                              </w:rPr>
                              <w:t xml:space="preserve">: </w:t>
                            </w:r>
                            <w:r w:rsidRPr="008A307D">
                              <w:rPr>
                                <w:rFonts w:ascii="Times New Roman" w:hAnsi="Times New Roman" w:cs="Times New Roman"/>
                                <w:i/>
                                <w:sz w:val="22"/>
                                <w:szCs w:val="22"/>
                                <w:u w:val="single"/>
                              </w:rPr>
                              <w:t>What did the matter involve? How voluminous were the papers? Were there difficult areas of law involved or was the claim of particular importance to the parties by virtue, for example, of the amount of money involved? Did it involve an unusual amount of time spent in court?</w:t>
                            </w:r>
                          </w:p>
                          <w:p w14:paraId="0ED8765D" w14:textId="5ED053C0" w:rsidR="00061CDF" w:rsidRPr="00E01C73" w:rsidRDefault="008A307D" w:rsidP="00EC0F3A">
                            <w:pPr>
                              <w:spacing w:after="40" w:line="276" w:lineRule="auto"/>
                              <w:jc w:val="both"/>
                              <w:rPr>
                                <w:rFonts w:ascii="Times New Roman" w:hAnsi="Times New Roman" w:cs="Times New Roman"/>
                                <w:i/>
                                <w:sz w:val="22"/>
                                <w:szCs w:val="22"/>
                                <w:u w:val="single"/>
                              </w:rPr>
                            </w:pPr>
                            <w:r w:rsidRPr="008A307D">
                              <w:rPr>
                                <w:rFonts w:ascii="Times New Roman" w:hAnsi="Times New Roman" w:cs="Times New Roman"/>
                                <w:i/>
                                <w:iCs/>
                                <w:sz w:val="22"/>
                                <w:szCs w:val="22"/>
                              </w:rPr>
                              <w:t>(b)</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work done by counsel</w:t>
                            </w:r>
                            <w:r w:rsidRPr="008A307D">
                              <w:rPr>
                                <w:rFonts w:ascii="Times New Roman" w:hAnsi="Times New Roman" w:cs="Times New Roman"/>
                                <w:i/>
                                <w:sz w:val="22"/>
                                <w:szCs w:val="22"/>
                              </w:rPr>
                              <w:t xml:space="preserve">: How </w:t>
                            </w:r>
                            <w:r w:rsidRPr="008A307D">
                              <w:rPr>
                                <w:rFonts w:ascii="Times New Roman" w:hAnsi="Times New Roman" w:cs="Times New Roman"/>
                                <w:i/>
                                <w:sz w:val="22"/>
                                <w:szCs w:val="22"/>
                                <w:u w:val="single"/>
                              </w:rPr>
                              <w:t>difficult or complex</w:t>
                            </w:r>
                            <w:r w:rsidRPr="008A307D">
                              <w:rPr>
                                <w:rFonts w:ascii="Times New Roman" w:hAnsi="Times New Roman" w:cs="Times New Roman"/>
                                <w:i/>
                                <w:sz w:val="22"/>
                                <w:szCs w:val="22"/>
                              </w:rPr>
                              <w:t xml:space="preserve"> were the matters dealt with in the heads of argument? </w:t>
                            </w:r>
                            <w:r w:rsidRPr="008A307D">
                              <w:rPr>
                                <w:rFonts w:ascii="Times New Roman" w:hAnsi="Times New Roman" w:cs="Times New Roman"/>
                                <w:i/>
                                <w:sz w:val="22"/>
                                <w:szCs w:val="22"/>
                                <w:u w:val="single"/>
                              </w:rPr>
                              <w:t>How long did counsel spend drafting heads of argument? How long did counsel spend considering the opponent's heads of argument and authorities? How long did counsel spend preparing his or her oral address to court?</w:t>
                            </w:r>
                          </w:p>
                          <w:p w14:paraId="7EF6C588" w14:textId="52E74F42" w:rsidR="00061CDF" w:rsidRDefault="008A307D" w:rsidP="00EC0F3A">
                            <w:pPr>
                              <w:spacing w:after="40"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(c)</w:t>
                            </w:r>
                            <w:r w:rsidRPr="008A307D">
                              <w:rPr>
                                <w:rFonts w:ascii="Times New Roman" w:hAnsi="Times New Roman" w:cs="Times New Roman"/>
                                <w:i/>
                                <w:sz w:val="22"/>
                                <w:szCs w:val="22"/>
                              </w:rPr>
                              <w:t xml:space="preserve">   Consider </w:t>
                            </w:r>
                            <w:r w:rsidRPr="008A307D">
                              <w:rPr>
                                <w:rFonts w:ascii="Times New Roman" w:hAnsi="Times New Roman" w:cs="Times New Roman"/>
                                <w:b/>
                                <w:i/>
                                <w:sz w:val="22"/>
                                <w:szCs w:val="22"/>
                                <w:u w:val="single"/>
                              </w:rPr>
                              <w:t>counsel's fees</w:t>
                            </w:r>
                            <w:r w:rsidRPr="008A307D">
                              <w:rPr>
                                <w:rFonts w:ascii="Times New Roman" w:hAnsi="Times New Roman" w:cs="Times New Roman"/>
                                <w:i/>
                                <w:sz w:val="22"/>
                                <w:szCs w:val="22"/>
                              </w:rPr>
                              <w:t>: Do they fall within the parameters familiar to the taxing master? Is it clear what is being charged for? Are all the charges covered by the costs award made? </w:t>
                            </w:r>
                          </w:p>
                          <w:p w14:paraId="7B369566" w14:textId="39CC4EA8" w:rsidR="00061CDF" w:rsidRDefault="008A307D" w:rsidP="00EC0F3A">
                            <w:pPr>
                              <w:spacing w:after="40"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(d)</w:t>
                            </w:r>
                            <w:r w:rsidRPr="008A307D">
                              <w:rPr>
                                <w:rFonts w:ascii="Times New Roman" w:hAnsi="Times New Roman" w:cs="Times New Roman"/>
                                <w:i/>
                                <w:sz w:val="22"/>
                                <w:szCs w:val="22"/>
                              </w:rPr>
                              <w:t xml:space="preserve">   Consider </w:t>
                            </w:r>
                            <w:r w:rsidRPr="008A307D">
                              <w:rPr>
                                <w:rFonts w:ascii="Times New Roman" w:hAnsi="Times New Roman" w:cs="Times New Roman"/>
                                <w:b/>
                                <w:i/>
                                <w:sz w:val="22"/>
                                <w:szCs w:val="22"/>
                                <w:u w:val="single"/>
                              </w:rPr>
                              <w:t>what is reasonable</w:t>
                            </w:r>
                            <w:r w:rsidRPr="008A307D">
                              <w:rPr>
                                <w:rFonts w:ascii="Times New Roman" w:hAnsi="Times New Roman" w:cs="Times New Roman"/>
                                <w:i/>
                                <w:sz w:val="22"/>
                                <w:szCs w:val="22"/>
                              </w:rPr>
                              <w:t xml:space="preserve">: In this regard the consideration that the litigant must not be out of pocket in respect of </w:t>
                            </w:r>
                            <w:r w:rsidRPr="008A307D">
                              <w:rPr>
                                <w:rFonts w:ascii="Times New Roman" w:hAnsi="Times New Roman" w:cs="Times New Roman"/>
                                <w:i/>
                                <w:sz w:val="22"/>
                                <w:szCs w:val="22"/>
                                <w:u w:val="single"/>
                              </w:rPr>
                              <w:t>party and party fees charged by counsel must be taken into account, together with the recognition that a reasonable rate coupled with reasonable time spent may not always, but certainly can, amount to a reasonable basis for the taxation of counsel's fees</w:t>
                            </w:r>
                            <w:r w:rsidRPr="008A307D">
                              <w:rPr>
                                <w:rFonts w:ascii="Times New Roman" w:hAnsi="Times New Roman" w:cs="Times New Roman"/>
                                <w:i/>
                                <w:sz w:val="22"/>
                                <w:szCs w:val="22"/>
                              </w:rPr>
                              <w:t>. If the taxing master is of the opinion that the time taken by counsel to perform a given task is reasonable on a party and party basis and the rate at which he or she charged is reasonable, then the litigant should be entitled to an indemnity in respect of such charges.</w:t>
                            </w:r>
                          </w:p>
                          <w:p w14:paraId="78DD39BF" w14:textId="5C6D3091" w:rsidR="008A307D" w:rsidRPr="008A307D" w:rsidRDefault="008A307D" w:rsidP="008A307D">
                            <w:pPr>
                              <w:spacing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(e)</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totality of the fee for the matter</w:t>
                            </w:r>
                            <w:r w:rsidRPr="008A307D">
                              <w:rPr>
                                <w:rFonts w:ascii="Times New Roman" w:hAnsi="Times New Roman" w:cs="Times New Roman"/>
                                <w:i/>
                                <w:sz w:val="22"/>
                                <w:szCs w:val="22"/>
                              </w:rPr>
                              <w:t xml:space="preserve">: </w:t>
                            </w:r>
                            <w:r w:rsidRPr="008A307D">
                              <w:rPr>
                                <w:rFonts w:ascii="Times New Roman" w:hAnsi="Times New Roman" w:cs="Times New Roman"/>
                                <w:i/>
                                <w:sz w:val="22"/>
                                <w:szCs w:val="22"/>
                                <w:u w:val="single"/>
                              </w:rPr>
                              <w:t>If the fee charged for the work done prior to the hearing is reasonable and the work done qualifies as party and party attendances, then the fee for such attendances should be added to the fee for the 'refresher fee' charged</w:t>
                            </w:r>
                            <w:r w:rsidRPr="008A307D">
                              <w:rPr>
                                <w:rFonts w:ascii="Times New Roman" w:hAnsi="Times New Roman" w:cs="Times New Roman"/>
                                <w:i/>
                                <w:sz w:val="22"/>
                                <w:szCs w:val="22"/>
                              </w:rPr>
                              <w:t>. By way of example, if in this matter the taxing master determines that it was reasonable to spend 5 hours drafting or settling heads of argument, 5 hours reading and considering the respondent's heads of argument and authorities and 5 hours preparing for the oral argument, she would allow a fee on exception of the equivalent of 2 days and 15 hours. If she felt an excessive amount of time was spent on items of preparation, she should disallow a fee for such excessive time.</w:t>
                            </w:r>
                            <w:r w:rsidR="008113B3">
                              <w:rPr>
                                <w:rFonts w:ascii="Times New Roman" w:hAnsi="Times New Roman" w:cs="Times New Roman"/>
                                <w:i/>
                                <w:sz w:val="22"/>
                                <w:szCs w:val="22"/>
                              </w:rPr>
                              <w:t>”</w:t>
                            </w:r>
                          </w:p>
                          <w:p w14:paraId="76B2D5D0" w14:textId="380C6DB1" w:rsidR="00667183" w:rsidRPr="000C796A" w:rsidRDefault="00667183" w:rsidP="00667183">
                            <w:pPr>
                              <w:spacing w:line="276" w:lineRule="auto"/>
                              <w:jc w:val="both"/>
                              <w:rPr>
                                <w:rFonts w:ascii="Times New Roman" w:hAnsi="Times New Roman" w:cs="Times New Roman"/>
                                <w:i/>
                                <w:sz w:val="22"/>
                                <w:szCs w:val="22"/>
                              </w:rPr>
                            </w:pPr>
                          </w:p>
                          <w:p w14:paraId="45C19202" w14:textId="77777777" w:rsidR="00667183" w:rsidRPr="00101B97" w:rsidRDefault="00667183" w:rsidP="00667183">
                            <w:pPr>
                              <w:spacing w:line="276" w:lineRule="auto"/>
                              <w:rPr>
                                <w:i/>
                                <w:sz w:val="22"/>
                                <w:szCs w:val="22"/>
                              </w:rPr>
                            </w:pPr>
                          </w:p>
                          <w:p w14:paraId="2E0B43E6" w14:textId="77777777" w:rsidR="00667183" w:rsidRPr="00101B97" w:rsidRDefault="00667183" w:rsidP="00667183">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C24AC0" id="_x0000_s1030" type="#_x0000_t202" style="position:absolute;left:0;text-align:left;margin-left:-22.5pt;margin-top:98.35pt;width:534pt;height:350.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gJbKAIAAEwEAAAOAAAAZHJzL2Uyb0RvYy54bWysVNuO2yAQfa/Uf0C8N3ZSZ5O14qy22aaq&#10;tL1Iu/0AjHGMCgwFEjv9+g44m01vL1X9gBhmOJw5M+PVzaAVOQjnJZiKTic5JcJwaKTZVfTL4/bV&#10;khIfmGmYAiMqehSe3qxfvlj1thQz6EA1whEEMb7sbUW7EGyZZZ53QjM/ASsMOltwmgU03S5rHOsR&#10;XatsludXWQ+usQ648B5P70YnXSf8thU8fGpbLwJRFUVuIa0urXVcs/WKlTvHbCf5iQb7BxaaSYOP&#10;nqHuWGBk7+RvUFpyBx7aMOGgM2hbyUXKAbOZ5r9k89AxK1IuKI63Z5n8/4PlHw+fHZFNRV9TYpjG&#10;Ej2KIZA3MJBZVKe3vsSgB4thYcBjrHLK1Nt74F89MbDpmNmJW+eg7wRrkN003swuro44PoLU/Qdo&#10;8Bm2D5CAhtbpKB2KQRAdq3Q8VyZS4Xh4tVhOlzm6OPqKolhOF/P0BiufrlvnwzsBmsRNRR2WPsGz&#10;w70PkQ4rn0Liax6UbLZSqWS4Xb1RjhwYtsk2fSf0n8KUIX1Fr+ez+ajAXyHy9P0JQsuA/a6krijm&#10;g18MYmXU7a1p0j4wqcY9UlbmJGTUblQxDPWQKlbEu1HkGpojKutgbG8cR9x04L5T0mNrV9R/2zMn&#10;KFHvDVbneloUcRaSUcwXMzTcpae+9DDDEaqigZJxuwlpfiJtA7dYxVYmfZ+ZnChjyybZT+MVZ+LS&#10;TlHPP4H1DwAAAP//AwBQSwMEFAAGAAgAAAAhADfEaT/hAAAADAEAAA8AAABkcnMvZG93bnJldi54&#10;bWxMj81OwzAQhO9IvIO1SFxQ65CWpAlxKoQEghuUqlzdeJtE+CfYbhrenu0Jjjsz+namWk9GsxF9&#10;6J0VcDtPgKFtnOptK2D78TRbAQtRWiW1syjgBwOs68uLSpbKnew7jpvYMoLYUEoBXYxDyXloOjQy&#10;zN2AlryD80ZGOn3LlZcnghvN0yTJuJG9pQ+dHPCxw+ZrczQCVsuX8TO8Lt52TXbQRbzJx+dvL8T1&#10;1fRwDyziFP/CcK5P1aGmTnt3tCowLWC2vKMtkYwiy4GdE0m6IGlP/CJPgdcV/z+i/gUAAP//AwBQ&#10;SwECLQAUAAYACAAAACEAtoM4kv4AAADhAQAAEwAAAAAAAAAAAAAAAAAAAAAAW0NvbnRlbnRfVHlw&#10;ZXNdLnhtbFBLAQItABQABgAIAAAAIQA4/SH/1gAAAJQBAAALAAAAAAAAAAAAAAAAAC8BAABfcmVs&#10;cy8ucmVsc1BLAQItABQABgAIAAAAIQCrWgJbKAIAAEwEAAAOAAAAAAAAAAAAAAAAAC4CAABkcnMv&#10;ZTJvRG9jLnhtbFBLAQItABQABgAIAAAAIQA3xGk/4QAAAAwBAAAPAAAAAAAAAAAAAAAAAIIEAABk&#10;cnMvZG93bnJldi54bWxQSwUGAAAAAAQABADzAAAAkAUAAAAA&#10;">
                <v:textbox>
                  <w:txbxContent>
                    <w:p w14:paraId="7705E9F4" w14:textId="310E60B2" w:rsidR="00061CDF" w:rsidRPr="0007135D" w:rsidRDefault="00667183" w:rsidP="00EC0F3A">
                      <w:pPr>
                        <w:spacing w:after="4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r w:rsidR="0007135D">
                        <w:rPr>
                          <w:rFonts w:ascii="Times New Roman" w:hAnsi="Times New Roman" w:cs="Times New Roman"/>
                          <w:b/>
                          <w:i/>
                          <w:sz w:val="22"/>
                          <w:szCs w:val="22"/>
                        </w:rPr>
                        <w:t xml:space="preserve"> at </w:t>
                      </w:r>
                      <w:r w:rsidR="001A74E6">
                        <w:rPr>
                          <w:rFonts w:ascii="Times New Roman" w:hAnsi="Times New Roman" w:cs="Times New Roman"/>
                          <w:b/>
                          <w:i/>
                          <w:sz w:val="22"/>
                          <w:szCs w:val="22"/>
                        </w:rPr>
                        <w:t>237</w:t>
                      </w:r>
                      <w:r>
                        <w:rPr>
                          <w:rFonts w:ascii="Times New Roman" w:hAnsi="Times New Roman" w:cs="Times New Roman"/>
                          <w:b/>
                          <w:i/>
                          <w:sz w:val="22"/>
                          <w:szCs w:val="22"/>
                        </w:rPr>
                        <w:t>A-</w:t>
                      </w:r>
                      <w:r w:rsidR="001A74E6">
                        <w:rPr>
                          <w:rFonts w:ascii="Times New Roman" w:hAnsi="Times New Roman" w:cs="Times New Roman"/>
                          <w:b/>
                          <w:i/>
                          <w:sz w:val="22"/>
                          <w:szCs w:val="22"/>
                        </w:rPr>
                        <w:t>H</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1D2976">
                        <w:rPr>
                          <w:rFonts w:ascii="Times New Roman" w:hAnsi="Times New Roman" w:cs="Times New Roman"/>
                          <w:i/>
                          <w:sz w:val="22"/>
                          <w:szCs w:val="22"/>
                        </w:rPr>
                        <w:t>..</w:t>
                      </w:r>
                      <w:r w:rsidRPr="000C796A">
                        <w:rPr>
                          <w:rFonts w:ascii="Times New Roman" w:hAnsi="Times New Roman" w:cs="Times New Roman"/>
                          <w:i/>
                          <w:sz w:val="22"/>
                          <w:szCs w:val="22"/>
                        </w:rPr>
                        <w:t>.</w:t>
                      </w:r>
                      <w:r w:rsidR="001D2976">
                        <w:rPr>
                          <w:rFonts w:ascii="Times New Roman" w:hAnsi="Times New Roman" w:cs="Times New Roman"/>
                          <w:i/>
                          <w:sz w:val="22"/>
                          <w:szCs w:val="22"/>
                        </w:rPr>
                        <w:t xml:space="preserve"> </w:t>
                      </w:r>
                      <w:r w:rsidR="008A307D" w:rsidRPr="008A307D">
                        <w:rPr>
                          <w:rFonts w:ascii="Times New Roman" w:hAnsi="Times New Roman" w:cs="Times New Roman"/>
                          <w:i/>
                          <w:sz w:val="22"/>
                          <w:szCs w:val="22"/>
                        </w:rPr>
                        <w:t>in matters of this nature I would expect the taxing master in considering the question of counsel's fees to adopt an approach along the following lines:</w:t>
                      </w:r>
                    </w:p>
                    <w:p w14:paraId="7929CD1B" w14:textId="73E01802" w:rsidR="00061CDF" w:rsidRPr="007C58EE" w:rsidRDefault="008A307D" w:rsidP="00EC0F3A">
                      <w:pPr>
                        <w:spacing w:after="40" w:line="276" w:lineRule="auto"/>
                        <w:jc w:val="both"/>
                        <w:rPr>
                          <w:rFonts w:ascii="Times New Roman" w:hAnsi="Times New Roman" w:cs="Times New Roman"/>
                          <w:i/>
                          <w:sz w:val="22"/>
                          <w:szCs w:val="22"/>
                          <w:u w:val="single"/>
                        </w:rPr>
                      </w:pPr>
                      <w:r w:rsidRPr="008A307D">
                        <w:rPr>
                          <w:rFonts w:ascii="Times New Roman" w:hAnsi="Times New Roman" w:cs="Times New Roman"/>
                          <w:i/>
                          <w:iCs/>
                          <w:sz w:val="22"/>
                          <w:szCs w:val="22"/>
                        </w:rPr>
                        <w:t>(a)</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nature and complexity of the matter</w:t>
                      </w:r>
                      <w:r w:rsidRPr="008A307D">
                        <w:rPr>
                          <w:rFonts w:ascii="Times New Roman" w:hAnsi="Times New Roman" w:cs="Times New Roman"/>
                          <w:i/>
                          <w:sz w:val="22"/>
                          <w:szCs w:val="22"/>
                        </w:rPr>
                        <w:t xml:space="preserve">: </w:t>
                      </w:r>
                      <w:r w:rsidRPr="008A307D">
                        <w:rPr>
                          <w:rFonts w:ascii="Times New Roman" w:hAnsi="Times New Roman" w:cs="Times New Roman"/>
                          <w:i/>
                          <w:sz w:val="22"/>
                          <w:szCs w:val="22"/>
                          <w:u w:val="single"/>
                        </w:rPr>
                        <w:t>What did the matter involve? How voluminous were the papers? Were there difficult areas of law involved or was the claim of particular importance to the parties by virtue, for example, of the amount of money involved? Did it involve an unusual amount of time spent in court?</w:t>
                      </w:r>
                    </w:p>
                    <w:p w14:paraId="0ED8765D" w14:textId="5ED053C0" w:rsidR="00061CDF" w:rsidRPr="00E01C73" w:rsidRDefault="008A307D" w:rsidP="00EC0F3A">
                      <w:pPr>
                        <w:spacing w:after="40" w:line="276" w:lineRule="auto"/>
                        <w:jc w:val="both"/>
                        <w:rPr>
                          <w:rFonts w:ascii="Times New Roman" w:hAnsi="Times New Roman" w:cs="Times New Roman"/>
                          <w:i/>
                          <w:sz w:val="22"/>
                          <w:szCs w:val="22"/>
                          <w:u w:val="single"/>
                        </w:rPr>
                      </w:pPr>
                      <w:r w:rsidRPr="008A307D">
                        <w:rPr>
                          <w:rFonts w:ascii="Times New Roman" w:hAnsi="Times New Roman" w:cs="Times New Roman"/>
                          <w:i/>
                          <w:iCs/>
                          <w:sz w:val="22"/>
                          <w:szCs w:val="22"/>
                        </w:rPr>
                        <w:t>(b)</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work done by counsel</w:t>
                      </w:r>
                      <w:r w:rsidRPr="008A307D">
                        <w:rPr>
                          <w:rFonts w:ascii="Times New Roman" w:hAnsi="Times New Roman" w:cs="Times New Roman"/>
                          <w:i/>
                          <w:sz w:val="22"/>
                          <w:szCs w:val="22"/>
                        </w:rPr>
                        <w:t xml:space="preserve">: How </w:t>
                      </w:r>
                      <w:r w:rsidRPr="008A307D">
                        <w:rPr>
                          <w:rFonts w:ascii="Times New Roman" w:hAnsi="Times New Roman" w:cs="Times New Roman"/>
                          <w:i/>
                          <w:sz w:val="22"/>
                          <w:szCs w:val="22"/>
                          <w:u w:val="single"/>
                        </w:rPr>
                        <w:t>difficult or complex</w:t>
                      </w:r>
                      <w:r w:rsidRPr="008A307D">
                        <w:rPr>
                          <w:rFonts w:ascii="Times New Roman" w:hAnsi="Times New Roman" w:cs="Times New Roman"/>
                          <w:i/>
                          <w:sz w:val="22"/>
                          <w:szCs w:val="22"/>
                        </w:rPr>
                        <w:t xml:space="preserve"> were the matters dealt with in the heads of argument? </w:t>
                      </w:r>
                      <w:r w:rsidRPr="008A307D">
                        <w:rPr>
                          <w:rFonts w:ascii="Times New Roman" w:hAnsi="Times New Roman" w:cs="Times New Roman"/>
                          <w:i/>
                          <w:sz w:val="22"/>
                          <w:szCs w:val="22"/>
                          <w:u w:val="single"/>
                        </w:rPr>
                        <w:t>How long did counsel spend drafting heads of argument? How long did counsel spend considering the opponent's heads of argument and authorities? How long did counsel spend preparing his or her oral address to court?</w:t>
                      </w:r>
                    </w:p>
                    <w:p w14:paraId="7EF6C588" w14:textId="52E74F42" w:rsidR="00061CDF" w:rsidRDefault="008A307D" w:rsidP="00EC0F3A">
                      <w:pPr>
                        <w:spacing w:after="40"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(c)</w:t>
                      </w:r>
                      <w:r w:rsidRPr="008A307D">
                        <w:rPr>
                          <w:rFonts w:ascii="Times New Roman" w:hAnsi="Times New Roman" w:cs="Times New Roman"/>
                          <w:i/>
                          <w:sz w:val="22"/>
                          <w:szCs w:val="22"/>
                        </w:rPr>
                        <w:t xml:space="preserve">   Consider </w:t>
                      </w:r>
                      <w:r w:rsidRPr="008A307D">
                        <w:rPr>
                          <w:rFonts w:ascii="Times New Roman" w:hAnsi="Times New Roman" w:cs="Times New Roman"/>
                          <w:b/>
                          <w:i/>
                          <w:sz w:val="22"/>
                          <w:szCs w:val="22"/>
                          <w:u w:val="single"/>
                        </w:rPr>
                        <w:t>counsel's fees</w:t>
                      </w:r>
                      <w:r w:rsidRPr="008A307D">
                        <w:rPr>
                          <w:rFonts w:ascii="Times New Roman" w:hAnsi="Times New Roman" w:cs="Times New Roman"/>
                          <w:i/>
                          <w:sz w:val="22"/>
                          <w:szCs w:val="22"/>
                        </w:rPr>
                        <w:t>: Do they fall within the parameters familiar to the taxing master? Is it clear what is being charged for? Are all the charges covered by the costs award made? </w:t>
                      </w:r>
                    </w:p>
                    <w:p w14:paraId="7B369566" w14:textId="39CC4EA8" w:rsidR="00061CDF" w:rsidRDefault="008A307D" w:rsidP="00EC0F3A">
                      <w:pPr>
                        <w:spacing w:after="40"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(d)</w:t>
                      </w:r>
                      <w:r w:rsidRPr="008A307D">
                        <w:rPr>
                          <w:rFonts w:ascii="Times New Roman" w:hAnsi="Times New Roman" w:cs="Times New Roman"/>
                          <w:i/>
                          <w:sz w:val="22"/>
                          <w:szCs w:val="22"/>
                        </w:rPr>
                        <w:t xml:space="preserve">   Consider </w:t>
                      </w:r>
                      <w:r w:rsidRPr="008A307D">
                        <w:rPr>
                          <w:rFonts w:ascii="Times New Roman" w:hAnsi="Times New Roman" w:cs="Times New Roman"/>
                          <w:b/>
                          <w:i/>
                          <w:sz w:val="22"/>
                          <w:szCs w:val="22"/>
                          <w:u w:val="single"/>
                        </w:rPr>
                        <w:t>what is reasonable</w:t>
                      </w:r>
                      <w:r w:rsidRPr="008A307D">
                        <w:rPr>
                          <w:rFonts w:ascii="Times New Roman" w:hAnsi="Times New Roman" w:cs="Times New Roman"/>
                          <w:i/>
                          <w:sz w:val="22"/>
                          <w:szCs w:val="22"/>
                        </w:rPr>
                        <w:t xml:space="preserve">: In this regard the consideration that the litigant must not be out of pocket in respect of </w:t>
                      </w:r>
                      <w:r w:rsidRPr="008A307D">
                        <w:rPr>
                          <w:rFonts w:ascii="Times New Roman" w:hAnsi="Times New Roman" w:cs="Times New Roman"/>
                          <w:i/>
                          <w:sz w:val="22"/>
                          <w:szCs w:val="22"/>
                          <w:u w:val="single"/>
                        </w:rPr>
                        <w:t>party and party fees charged by counsel must be taken into account, together with the recognition that a reasonable rate coupled with reasonable time spent may not always, but certainly can, amount to a reasonable basis for the taxation of counsel's fees</w:t>
                      </w:r>
                      <w:r w:rsidRPr="008A307D">
                        <w:rPr>
                          <w:rFonts w:ascii="Times New Roman" w:hAnsi="Times New Roman" w:cs="Times New Roman"/>
                          <w:i/>
                          <w:sz w:val="22"/>
                          <w:szCs w:val="22"/>
                        </w:rPr>
                        <w:t>. If the taxing master is of the opinion that the time taken by counsel to perform a given task is reasonable on a party and party basis and the rate at which he or she charged is reasonable, then the litigant should be entitled to an indemnity in respect of such charges.</w:t>
                      </w:r>
                    </w:p>
                    <w:p w14:paraId="78DD39BF" w14:textId="5C6D3091" w:rsidR="008A307D" w:rsidRPr="008A307D" w:rsidRDefault="008A307D" w:rsidP="008A307D">
                      <w:pPr>
                        <w:spacing w:line="276" w:lineRule="auto"/>
                        <w:jc w:val="both"/>
                        <w:rPr>
                          <w:rFonts w:ascii="Times New Roman" w:hAnsi="Times New Roman" w:cs="Times New Roman"/>
                          <w:i/>
                          <w:sz w:val="22"/>
                          <w:szCs w:val="22"/>
                        </w:rPr>
                      </w:pPr>
                      <w:r w:rsidRPr="008A307D">
                        <w:rPr>
                          <w:rFonts w:ascii="Times New Roman" w:hAnsi="Times New Roman" w:cs="Times New Roman"/>
                          <w:i/>
                          <w:iCs/>
                          <w:sz w:val="22"/>
                          <w:szCs w:val="22"/>
                        </w:rPr>
                        <w:t>(e)</w:t>
                      </w:r>
                      <w:r w:rsidRPr="008A307D">
                        <w:rPr>
                          <w:rFonts w:ascii="Times New Roman" w:hAnsi="Times New Roman" w:cs="Times New Roman"/>
                          <w:i/>
                          <w:sz w:val="22"/>
                          <w:szCs w:val="22"/>
                        </w:rPr>
                        <w:t xml:space="preserve">   Consider the </w:t>
                      </w:r>
                      <w:r w:rsidRPr="008A307D">
                        <w:rPr>
                          <w:rFonts w:ascii="Times New Roman" w:hAnsi="Times New Roman" w:cs="Times New Roman"/>
                          <w:b/>
                          <w:i/>
                          <w:sz w:val="22"/>
                          <w:szCs w:val="22"/>
                          <w:u w:val="single"/>
                        </w:rPr>
                        <w:t>totality of the fee for the matter</w:t>
                      </w:r>
                      <w:r w:rsidRPr="008A307D">
                        <w:rPr>
                          <w:rFonts w:ascii="Times New Roman" w:hAnsi="Times New Roman" w:cs="Times New Roman"/>
                          <w:i/>
                          <w:sz w:val="22"/>
                          <w:szCs w:val="22"/>
                        </w:rPr>
                        <w:t xml:space="preserve">: </w:t>
                      </w:r>
                      <w:r w:rsidRPr="008A307D">
                        <w:rPr>
                          <w:rFonts w:ascii="Times New Roman" w:hAnsi="Times New Roman" w:cs="Times New Roman"/>
                          <w:i/>
                          <w:sz w:val="22"/>
                          <w:szCs w:val="22"/>
                          <w:u w:val="single"/>
                        </w:rPr>
                        <w:t>If the fee charged for the work done prior to the hearing is reasonable and the work done qualifies as party and party attendances, then the fee for such attendances should be added to the fee for the 'refresher fee' charged</w:t>
                      </w:r>
                      <w:r w:rsidRPr="008A307D">
                        <w:rPr>
                          <w:rFonts w:ascii="Times New Roman" w:hAnsi="Times New Roman" w:cs="Times New Roman"/>
                          <w:i/>
                          <w:sz w:val="22"/>
                          <w:szCs w:val="22"/>
                        </w:rPr>
                        <w:t>. By way of example, if in this matter the taxing master determines that it was reasonable to spend 5 hours drafting or settling heads of argument, 5 hours reading and considering the respondent's heads of argument and authorities and 5 hours preparing for the oral argument, she would allow a fee on exception of the equivalent of 2 days and 15 hours. If she felt an excessive amount of time was spent on items of preparation, she should disallow a fee for such excessive time.</w:t>
                      </w:r>
                      <w:r w:rsidR="008113B3">
                        <w:rPr>
                          <w:rFonts w:ascii="Times New Roman" w:hAnsi="Times New Roman" w:cs="Times New Roman"/>
                          <w:i/>
                          <w:sz w:val="22"/>
                          <w:szCs w:val="22"/>
                        </w:rPr>
                        <w:t>”</w:t>
                      </w:r>
                    </w:p>
                    <w:p w14:paraId="76B2D5D0" w14:textId="380C6DB1" w:rsidR="00667183" w:rsidRPr="000C796A" w:rsidRDefault="00667183" w:rsidP="00667183">
                      <w:pPr>
                        <w:spacing w:line="276" w:lineRule="auto"/>
                        <w:jc w:val="both"/>
                        <w:rPr>
                          <w:rFonts w:ascii="Times New Roman" w:hAnsi="Times New Roman" w:cs="Times New Roman"/>
                          <w:i/>
                          <w:sz w:val="22"/>
                          <w:szCs w:val="22"/>
                        </w:rPr>
                      </w:pPr>
                    </w:p>
                    <w:p w14:paraId="45C19202" w14:textId="77777777" w:rsidR="00667183" w:rsidRPr="00101B97" w:rsidRDefault="00667183" w:rsidP="00667183">
                      <w:pPr>
                        <w:spacing w:line="276" w:lineRule="auto"/>
                        <w:rPr>
                          <w:i/>
                          <w:sz w:val="22"/>
                          <w:szCs w:val="22"/>
                        </w:rPr>
                      </w:pPr>
                    </w:p>
                    <w:p w14:paraId="2E0B43E6" w14:textId="77777777" w:rsidR="00667183" w:rsidRPr="00101B97" w:rsidRDefault="00667183" w:rsidP="00667183">
                      <w:pPr>
                        <w:spacing w:line="276" w:lineRule="auto"/>
                        <w:rPr>
                          <w:i/>
                          <w:sz w:val="22"/>
                          <w:szCs w:val="22"/>
                        </w:rPr>
                      </w:pPr>
                    </w:p>
                  </w:txbxContent>
                </v:textbox>
                <w10:wrap type="square" anchorx="margin"/>
              </v:shape>
            </w:pict>
          </mc:Fallback>
        </mc:AlternateContent>
      </w:r>
      <w:r w:rsidR="001800FE" w:rsidRPr="00523246">
        <w:rPr>
          <w:rFonts w:ascii="Arial" w:hAnsi="Arial" w:cs="Arial"/>
          <w:sz w:val="24"/>
          <w:szCs w:val="24"/>
        </w:rPr>
        <w:t>The Court outlined the following point of clarification</w:t>
      </w:r>
      <w:r w:rsidR="002F231C">
        <w:rPr>
          <w:rFonts w:ascii="Arial" w:hAnsi="Arial" w:cs="Arial"/>
          <w:sz w:val="24"/>
          <w:szCs w:val="24"/>
        </w:rPr>
        <w:t xml:space="preserve"> at par 22:</w:t>
      </w:r>
      <w:r w:rsidR="001800FE" w:rsidRPr="00523246">
        <w:rPr>
          <w:rFonts w:ascii="Arial" w:hAnsi="Arial" w:cs="Arial"/>
          <w:sz w:val="24"/>
          <w:szCs w:val="24"/>
        </w:rPr>
        <w:t xml:space="preserve"> while the language of some of the cases may</w:t>
      </w:r>
      <w:r w:rsidR="00B753F3">
        <w:rPr>
          <w:rFonts w:ascii="Arial" w:hAnsi="Arial" w:cs="Arial"/>
          <w:sz w:val="24"/>
          <w:szCs w:val="24"/>
        </w:rPr>
        <w:t xml:space="preserve"> </w:t>
      </w:r>
      <w:r w:rsidR="001800FE" w:rsidRPr="00523246">
        <w:rPr>
          <w:rFonts w:ascii="Arial" w:hAnsi="Arial" w:cs="Arial"/>
          <w:sz w:val="24"/>
          <w:szCs w:val="24"/>
        </w:rPr>
        <w:t>suggest that it is wrong or improper for counsel to charge separately for drafting heads of</w:t>
      </w:r>
      <w:r w:rsidR="00B753F3">
        <w:rPr>
          <w:rFonts w:ascii="Arial" w:hAnsi="Arial" w:cs="Arial"/>
          <w:sz w:val="24"/>
          <w:szCs w:val="24"/>
        </w:rPr>
        <w:t xml:space="preserve"> </w:t>
      </w:r>
      <w:r w:rsidR="001800FE" w:rsidRPr="00523246">
        <w:rPr>
          <w:rFonts w:ascii="Arial" w:hAnsi="Arial" w:cs="Arial"/>
          <w:sz w:val="24"/>
          <w:szCs w:val="24"/>
        </w:rPr>
        <w:t>argument</w:t>
      </w:r>
      <w:r w:rsidR="00B753F3">
        <w:rPr>
          <w:rFonts w:ascii="Arial" w:hAnsi="Arial" w:cs="Arial"/>
          <w:sz w:val="24"/>
          <w:szCs w:val="24"/>
        </w:rPr>
        <w:t xml:space="preserve"> </w:t>
      </w:r>
      <w:r w:rsidR="001800FE" w:rsidRPr="00523246">
        <w:rPr>
          <w:rFonts w:ascii="Arial" w:hAnsi="Arial" w:cs="Arial"/>
          <w:sz w:val="24"/>
          <w:szCs w:val="24"/>
        </w:rPr>
        <w:t>and preparation, this is not the case. What is being conveyed is that it is not correct to tax a party</w:t>
      </w:r>
      <w:r w:rsidR="00B753F3">
        <w:rPr>
          <w:rFonts w:ascii="Arial" w:hAnsi="Arial" w:cs="Arial"/>
          <w:sz w:val="24"/>
          <w:szCs w:val="24"/>
        </w:rPr>
        <w:t xml:space="preserve"> </w:t>
      </w:r>
      <w:r w:rsidR="001800FE" w:rsidRPr="00523246">
        <w:rPr>
          <w:rFonts w:ascii="Arial" w:hAnsi="Arial" w:cs="Arial"/>
          <w:sz w:val="24"/>
          <w:szCs w:val="24"/>
        </w:rPr>
        <w:t>and party bill on that basis. The modern trend of charging a fee based on time actually expended is</w:t>
      </w:r>
      <w:r w:rsidR="00B753F3">
        <w:rPr>
          <w:rFonts w:ascii="Arial" w:hAnsi="Arial" w:cs="Arial"/>
          <w:sz w:val="24"/>
          <w:szCs w:val="24"/>
        </w:rPr>
        <w:t xml:space="preserve"> </w:t>
      </w:r>
      <w:r w:rsidR="001800FE" w:rsidRPr="00523246">
        <w:rPr>
          <w:rFonts w:ascii="Arial" w:hAnsi="Arial" w:cs="Arial"/>
          <w:sz w:val="24"/>
          <w:szCs w:val="24"/>
        </w:rPr>
        <w:t>both acceptable and in the interest of transparency.</w:t>
      </w:r>
    </w:p>
    <w:p w14:paraId="32C6C3CC" w14:textId="08E07BCB" w:rsidR="001F274C" w:rsidRPr="009B6899" w:rsidRDefault="00517BB4" w:rsidP="00F43C09">
      <w:pPr>
        <w:pStyle w:val="NoSpacing"/>
        <w:spacing w:line="276" w:lineRule="auto"/>
        <w:jc w:val="both"/>
        <w:rPr>
          <w:rFonts w:ascii="Arial" w:hAnsi="Arial" w:cs="Arial"/>
          <w:sz w:val="28"/>
          <w:szCs w:val="24"/>
          <w:u w:val="single"/>
        </w:rPr>
      </w:pPr>
      <w:r w:rsidRPr="003657C9">
        <w:rPr>
          <w:rFonts w:ascii="Arial" w:eastAsiaTheme="minorHAnsi" w:hAnsi="Arial" w:cs="Arial"/>
          <w:b/>
          <w:noProof/>
          <w:sz w:val="24"/>
          <w:szCs w:val="24"/>
        </w:rPr>
        <w:lastRenderedPageBreak/>
        <mc:AlternateContent>
          <mc:Choice Requires="wps">
            <w:drawing>
              <wp:anchor distT="45720" distB="45720" distL="114300" distR="114300" simplePos="0" relativeHeight="251669504" behindDoc="0" locked="0" layoutInCell="1" allowOverlap="1" wp14:anchorId="2D201FB2" wp14:editId="08D6D711">
                <wp:simplePos x="0" y="0"/>
                <wp:positionH relativeFrom="margin">
                  <wp:posOffset>3723640</wp:posOffset>
                </wp:positionH>
                <wp:positionV relativeFrom="paragraph">
                  <wp:posOffset>9525</wp:posOffset>
                </wp:positionV>
                <wp:extent cx="2809875" cy="5105400"/>
                <wp:effectExtent l="0" t="0" r="28575" b="1905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5105400"/>
                        </a:xfrm>
                        <a:prstGeom prst="rect">
                          <a:avLst/>
                        </a:prstGeom>
                        <a:solidFill>
                          <a:srgbClr val="FFFFFF"/>
                        </a:solidFill>
                        <a:ln w="9525">
                          <a:solidFill>
                            <a:srgbClr val="000000"/>
                          </a:solidFill>
                          <a:miter lim="800000"/>
                          <a:headEnd/>
                          <a:tailEnd/>
                        </a:ln>
                      </wps:spPr>
                      <wps:txbx>
                        <w:txbxContent>
                          <w:p w14:paraId="67EFB30E" w14:textId="2440580A" w:rsidR="00FF6240" w:rsidRPr="00FF6240" w:rsidRDefault="006D485B" w:rsidP="00385F6C">
                            <w:pPr>
                              <w:spacing w:after="6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r w:rsidR="00FF6240">
                              <w:rPr>
                                <w:rFonts w:ascii="Times New Roman" w:hAnsi="Times New Roman" w:cs="Times New Roman"/>
                                <w:b/>
                                <w:i/>
                                <w:sz w:val="22"/>
                                <w:szCs w:val="22"/>
                              </w:rPr>
                              <w:t xml:space="preserve"> at </w:t>
                            </w:r>
                            <w:r w:rsidR="00321BC9">
                              <w:rPr>
                                <w:rFonts w:ascii="Times New Roman" w:hAnsi="Times New Roman" w:cs="Times New Roman"/>
                                <w:b/>
                                <w:i/>
                                <w:sz w:val="22"/>
                                <w:szCs w:val="22"/>
                              </w:rPr>
                              <w:t>126G-127B</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B5521D" w:rsidRPr="00B5521D">
                              <w:rPr>
                                <w:rFonts w:ascii="Times New Roman" w:hAnsi="Times New Roman" w:cs="Times New Roman"/>
                                <w:i/>
                                <w:iCs/>
                                <w:sz w:val="22"/>
                                <w:szCs w:val="22"/>
                              </w:rPr>
                              <w:t>The principles guiding the review of a taxation in this court were settled in President of the Republic of South Africa and Others v Gauteng Lions Rugby Union and Another:</w:t>
                            </w:r>
                            <w:bookmarkStart w:id="7" w:name="0-0-0-201043"/>
                            <w:bookmarkEnd w:id="7"/>
                            <w:r w:rsidR="00321BC9" w:rsidRPr="00B5521D">
                              <w:rPr>
                                <w:rFonts w:ascii="Times New Roman" w:hAnsi="Times New Roman" w:cs="Times New Roman"/>
                                <w:i/>
                                <w:iCs/>
                                <w:sz w:val="22"/>
                                <w:szCs w:val="22"/>
                              </w:rPr>
                              <w:t xml:space="preserve"> </w:t>
                            </w:r>
                          </w:p>
                          <w:p w14:paraId="6D016A5B" w14:textId="1D556F50" w:rsidR="00FF6240"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Costs are awarded to a successful party to indemnify it for the expense to which it has been put through, having been unjustly compelled either to initiate or defend litigation.</w:t>
                            </w:r>
                            <w:bookmarkStart w:id="8" w:name="0-0-0-201047"/>
                            <w:bookmarkEnd w:id="8"/>
                            <w:r w:rsidR="00321BC9" w:rsidRPr="00B5521D">
                              <w:rPr>
                                <w:rFonts w:ascii="Times New Roman" w:hAnsi="Times New Roman" w:cs="Times New Roman"/>
                                <w:i/>
                                <w:iCs/>
                                <w:sz w:val="22"/>
                                <w:szCs w:val="22"/>
                              </w:rPr>
                              <w:t xml:space="preserve"> </w:t>
                            </w:r>
                          </w:p>
                          <w:p w14:paraId="2C4127B6" w14:textId="0DEC6102" w:rsidR="00FF6240"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 moderating balance must be struck which affords the innocent party adequate indemnification, but within reasonable bounds.</w:t>
                            </w:r>
                            <w:bookmarkStart w:id="9" w:name="0-0-0-201051"/>
                            <w:bookmarkEnd w:id="9"/>
                            <w:r w:rsidR="00321BC9" w:rsidRPr="00B5521D">
                              <w:rPr>
                                <w:rFonts w:ascii="Times New Roman" w:hAnsi="Times New Roman" w:cs="Times New Roman"/>
                                <w:i/>
                                <w:iCs/>
                                <w:sz w:val="22"/>
                                <w:szCs w:val="22"/>
                              </w:rPr>
                              <w:t xml:space="preserve"> </w:t>
                            </w:r>
                          </w:p>
                          <w:p w14:paraId="4AC29764" w14:textId="2FC33164"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The taxing master must strike this equitable balance correctly in the light of all the circumstances of the case.</w:t>
                            </w:r>
                            <w:bookmarkStart w:id="10" w:name="0-0-0-201055"/>
                            <w:bookmarkEnd w:id="10"/>
                            <w:r w:rsidR="00321BC9" w:rsidRPr="00B5521D">
                              <w:rPr>
                                <w:rFonts w:ascii="Times New Roman" w:hAnsi="Times New Roman" w:cs="Times New Roman"/>
                                <w:i/>
                                <w:iCs/>
                                <w:sz w:val="22"/>
                                <w:szCs w:val="22"/>
                              </w:rPr>
                              <w:t xml:space="preserve"> </w:t>
                            </w:r>
                          </w:p>
                          <w:p w14:paraId="2636A3E8" w14:textId="3BF5ED3F"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An overall balance between the interests of the parties should be maintained.</w:t>
                            </w:r>
                            <w:bookmarkStart w:id="11" w:name="0-0-0-201059"/>
                            <w:bookmarkEnd w:id="11"/>
                            <w:r w:rsidR="00321BC9" w:rsidRPr="00B5521D">
                              <w:rPr>
                                <w:rFonts w:ascii="Times New Roman" w:hAnsi="Times New Roman" w:cs="Times New Roman"/>
                                <w:i/>
                                <w:iCs/>
                                <w:sz w:val="22"/>
                                <w:szCs w:val="22"/>
                              </w:rPr>
                              <w:t xml:space="preserve"> </w:t>
                            </w:r>
                          </w:p>
                          <w:p w14:paraId="193AC730" w14:textId="3A19938D"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The taxing master should be guided by the general precept that the fees allowed constitute reasonable remuneration for necessary work properly done.</w:t>
                            </w:r>
                            <w:bookmarkStart w:id="12" w:name="0-0-0-201063"/>
                            <w:bookmarkEnd w:id="12"/>
                            <w:r w:rsidR="00321BC9" w:rsidRPr="00B5521D">
                              <w:rPr>
                                <w:rFonts w:ascii="Times New Roman" w:hAnsi="Times New Roman" w:cs="Times New Roman"/>
                                <w:i/>
                                <w:iCs/>
                                <w:sz w:val="22"/>
                                <w:szCs w:val="22"/>
                              </w:rPr>
                              <w:t xml:space="preserve"> </w:t>
                            </w:r>
                          </w:p>
                          <w:p w14:paraId="7EF82FFC" w14:textId="1E1A35F3" w:rsidR="00B5521D" w:rsidRPr="00B5521D" w:rsidRDefault="00B5521D" w:rsidP="00B5521D">
                            <w:pPr>
                              <w:spacing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And the court will not interfere with a ruling made by the taxing master merely because its view differs from his or hers, but only when it is satisfied that the taxing master's view differs so materially from its own that it should be held to vitiate the ruling.</w:t>
                            </w:r>
                            <w:bookmarkStart w:id="13" w:name="0-0-0-201067"/>
                            <w:bookmarkEnd w:id="13"/>
                            <w:r w:rsidR="008113B3">
                              <w:rPr>
                                <w:rFonts w:ascii="Times New Roman" w:hAnsi="Times New Roman" w:cs="Times New Roman"/>
                                <w:i/>
                                <w:iCs/>
                                <w:sz w:val="22"/>
                                <w:szCs w:val="22"/>
                              </w:rPr>
                              <w:t>”</w:t>
                            </w:r>
                            <w:r w:rsidR="00CE7587" w:rsidRPr="00B5521D">
                              <w:rPr>
                                <w:rFonts w:ascii="Times New Roman" w:hAnsi="Times New Roman" w:cs="Times New Roman"/>
                                <w:i/>
                                <w:iCs/>
                                <w:sz w:val="22"/>
                                <w:szCs w:val="22"/>
                              </w:rPr>
                              <w:t xml:space="preserve"> </w:t>
                            </w:r>
                          </w:p>
                          <w:p w14:paraId="30F19543" w14:textId="74C0C17A" w:rsidR="006D485B" w:rsidRPr="00467350" w:rsidRDefault="006D485B" w:rsidP="006D485B">
                            <w:pPr>
                              <w:spacing w:line="276" w:lineRule="auto"/>
                              <w:jc w:val="both"/>
                              <w:rPr>
                                <w:rFonts w:ascii="Times New Roman" w:hAnsi="Times New Roman" w:cs="Times New Roman"/>
                                <w:i/>
                                <w:sz w:val="22"/>
                                <w:szCs w:val="22"/>
                              </w:rPr>
                            </w:pPr>
                          </w:p>
                          <w:p w14:paraId="3EF80781" w14:textId="77777777" w:rsidR="006D485B" w:rsidRPr="00101B97" w:rsidRDefault="006D485B" w:rsidP="006D485B">
                            <w:pPr>
                              <w:spacing w:line="276" w:lineRule="auto"/>
                              <w:rPr>
                                <w:i/>
                                <w:sz w:val="22"/>
                                <w:szCs w:val="22"/>
                              </w:rPr>
                            </w:pPr>
                          </w:p>
                          <w:p w14:paraId="4C44A360" w14:textId="77777777" w:rsidR="006D485B" w:rsidRPr="00101B97" w:rsidRDefault="006D485B" w:rsidP="006D485B">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201FB2" id="Text Box 5" o:spid="_x0000_s1031" type="#_x0000_t202" style="position:absolute;left:0;text-align:left;margin-left:293.2pt;margin-top:.75pt;width:221.25pt;height:402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6BWJQIAAEwEAAAOAAAAZHJzL2Uyb0RvYy54bWysVFFv0zAQfkfiP1h+p0mrhrVR02l0FCGN&#10;gbTxAxzHaSxsn7HdJuPXc3ayUg14QeTB8vnOn+++7y6b60ErchLOSzAVnc9ySoTh0EhzqOjXx/2b&#10;FSU+MNMwBUZU9El4er19/WrT21IsoAPVCEcQxPiytxXtQrBllnneCc38DKww6GzBaRbQdIescaxH&#10;dK2yRZ6/zXpwjXXAhfd4ejs66Tbht63g4XPbehGIqijmFtLq0lrHNdtuWHlwzHaST2mwf8hCM2nw&#10;0TPULQuMHJ38DUpL7sBDG2YcdAZtK7lINWA18/xFNQ8dsyLVguR4e6bJ/z9Yfn/64ohsKlpQYphG&#10;iR7FEMg7GEgR2emtLzHowWJYGPAYVU6VensH/JsnBnYdMwdx4xz0nWANZjePN7OLqyOOjyB1/wka&#10;fIYdAySgoXU6UodkEERHlZ7OysRUOB4uVvl6dYUpcvQV87xY5km7jJXP163z4YMATeKmog6lT/Ds&#10;dOdDTIeVzyHxNQ9KNnupVDLcod4pR04M22SfvlTBizBlSF/RdbEoRgb+CpGn708QWgbsdyV1RVfn&#10;IFZG3t6bJnVjYFKNe0xZmYnIyN3IYhjqYVJs0qeG5gmZdTC2N44jbjpwPyjpsbUr6r8fmROUqI8G&#10;1VnPl8s4C8lYFlcLNNylp770MMMRqqKBknG7C2l+Im8GblDFViZ+o9xjJlPK2LKJ9mm84kxc2inq&#10;109g+xMAAP//AwBQSwMEFAAGAAgAAAAhADP7IbrfAAAACgEAAA8AAABkcnMvZG93bnJldi54bWxM&#10;j8FOwzAQRO9I/IO1SFwQtSlNSEOcCiGB4AZtBVc33iYR9jrYbhr+HvcEx9UbvZmtVpM1bEQfekcS&#10;bmYCGFLjdE+thO3m6boAFqIirYwjlPCDAVb1+VmlSu2O9I7jOrYsSSiUSkIX41ByHpoOrQozNyAl&#10;tnfeqphO33Lt1THJreFzIXJuVU+poVMDPnbYfK0PVkKxeBk/w+vt20eT780yXt2Nz99eysuL6eEe&#10;WMQp/oXhND9Nhzpt2rkD6cCMhKzIFymaQAbsxMW8WALbJbvIMuB1xf+/UP8CAAD//wMAUEsBAi0A&#10;FAAGAAgAAAAhALaDOJL+AAAA4QEAABMAAAAAAAAAAAAAAAAAAAAAAFtDb250ZW50X1R5cGVzXS54&#10;bWxQSwECLQAUAAYACAAAACEAOP0h/9YAAACUAQAACwAAAAAAAAAAAAAAAAAvAQAAX3JlbHMvLnJl&#10;bHNQSwECLQAUAAYACAAAACEAyGugViUCAABMBAAADgAAAAAAAAAAAAAAAAAuAgAAZHJzL2Uyb0Rv&#10;Yy54bWxQSwECLQAUAAYACAAAACEAM/shut8AAAAKAQAADwAAAAAAAAAAAAAAAAB/BAAAZHJzL2Rv&#10;d25yZXYueG1sUEsFBgAAAAAEAAQA8wAAAIsFAAAAAA==&#10;">
                <v:textbox>
                  <w:txbxContent>
                    <w:p w14:paraId="67EFB30E" w14:textId="2440580A" w:rsidR="00FF6240" w:rsidRPr="00FF6240" w:rsidRDefault="006D485B" w:rsidP="00385F6C">
                      <w:pPr>
                        <w:spacing w:after="60" w:line="276" w:lineRule="auto"/>
                        <w:jc w:val="both"/>
                        <w:rPr>
                          <w:rFonts w:ascii="Times New Roman" w:hAnsi="Times New Roman" w:cs="Times New Roman"/>
                          <w:b/>
                          <w:i/>
                          <w:sz w:val="22"/>
                          <w:szCs w:val="22"/>
                        </w:rPr>
                      </w:pPr>
                      <w:r w:rsidRPr="009042A0">
                        <w:rPr>
                          <w:rFonts w:ascii="Times New Roman" w:hAnsi="Times New Roman" w:cs="Times New Roman"/>
                          <w:b/>
                          <w:i/>
                          <w:sz w:val="22"/>
                          <w:szCs w:val="22"/>
                        </w:rPr>
                        <w:t>Extract</w:t>
                      </w:r>
                      <w:r w:rsidR="00FF6240">
                        <w:rPr>
                          <w:rFonts w:ascii="Times New Roman" w:hAnsi="Times New Roman" w:cs="Times New Roman"/>
                          <w:b/>
                          <w:i/>
                          <w:sz w:val="22"/>
                          <w:szCs w:val="22"/>
                        </w:rPr>
                        <w:t xml:space="preserve"> at </w:t>
                      </w:r>
                      <w:r w:rsidR="00321BC9">
                        <w:rPr>
                          <w:rFonts w:ascii="Times New Roman" w:hAnsi="Times New Roman" w:cs="Times New Roman"/>
                          <w:b/>
                          <w:i/>
                          <w:sz w:val="22"/>
                          <w:szCs w:val="22"/>
                        </w:rPr>
                        <w:t>126G-127B</w:t>
                      </w:r>
                      <w:r w:rsidRPr="009042A0">
                        <w:rPr>
                          <w:rFonts w:ascii="Times New Roman" w:hAnsi="Times New Roman" w:cs="Times New Roman"/>
                          <w:b/>
                          <w:i/>
                          <w:sz w:val="22"/>
                          <w:szCs w:val="22"/>
                        </w:rPr>
                        <w:t>:</w:t>
                      </w:r>
                      <w:r w:rsidRPr="009042A0">
                        <w:rPr>
                          <w:rFonts w:ascii="Times New Roman" w:hAnsi="Times New Roman" w:cs="Times New Roman"/>
                          <w:i/>
                          <w:sz w:val="22"/>
                          <w:szCs w:val="22"/>
                        </w:rPr>
                        <w:t xml:space="preserve"> “</w:t>
                      </w:r>
                      <w:r w:rsidR="00B5521D" w:rsidRPr="00B5521D">
                        <w:rPr>
                          <w:rFonts w:ascii="Times New Roman" w:hAnsi="Times New Roman" w:cs="Times New Roman"/>
                          <w:i/>
                          <w:iCs/>
                          <w:sz w:val="22"/>
                          <w:szCs w:val="22"/>
                        </w:rPr>
                        <w:t>The principles guiding the review of a taxation in this court were settled in President of the Republic of South Africa and Others v Gauteng Lions Rugby Union and Another:</w:t>
                      </w:r>
                      <w:bookmarkStart w:id="14" w:name="0-0-0-201043"/>
                      <w:bookmarkEnd w:id="14"/>
                      <w:r w:rsidR="00321BC9" w:rsidRPr="00B5521D">
                        <w:rPr>
                          <w:rFonts w:ascii="Times New Roman" w:hAnsi="Times New Roman" w:cs="Times New Roman"/>
                          <w:i/>
                          <w:iCs/>
                          <w:sz w:val="22"/>
                          <w:szCs w:val="22"/>
                        </w:rPr>
                        <w:t xml:space="preserve"> </w:t>
                      </w:r>
                    </w:p>
                    <w:p w14:paraId="6D016A5B" w14:textId="1D556F50" w:rsidR="00FF6240"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Costs are awarded to a successful party to indemnify it for the expense to which it has been put through, having been unjustly compelled either to initiate or defend litigation.</w:t>
                      </w:r>
                      <w:bookmarkStart w:id="15" w:name="0-0-0-201047"/>
                      <w:bookmarkEnd w:id="15"/>
                      <w:r w:rsidR="00321BC9" w:rsidRPr="00B5521D">
                        <w:rPr>
                          <w:rFonts w:ascii="Times New Roman" w:hAnsi="Times New Roman" w:cs="Times New Roman"/>
                          <w:i/>
                          <w:iCs/>
                          <w:sz w:val="22"/>
                          <w:szCs w:val="22"/>
                        </w:rPr>
                        <w:t xml:space="preserve"> </w:t>
                      </w:r>
                    </w:p>
                    <w:p w14:paraId="2C4127B6" w14:textId="0DEC6102" w:rsidR="00FF6240"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 moderating balance must be struck which affords the innocent party adequate indemnification, but within reasonable bounds.</w:t>
                      </w:r>
                      <w:bookmarkStart w:id="16" w:name="0-0-0-201051"/>
                      <w:bookmarkEnd w:id="16"/>
                      <w:r w:rsidR="00321BC9" w:rsidRPr="00B5521D">
                        <w:rPr>
                          <w:rFonts w:ascii="Times New Roman" w:hAnsi="Times New Roman" w:cs="Times New Roman"/>
                          <w:i/>
                          <w:iCs/>
                          <w:sz w:val="22"/>
                          <w:szCs w:val="22"/>
                        </w:rPr>
                        <w:t xml:space="preserve"> </w:t>
                      </w:r>
                    </w:p>
                    <w:p w14:paraId="4AC29764" w14:textId="2FC33164"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The taxing master must strike this equitable balance correctly in the light of all the circumstances of the case.</w:t>
                      </w:r>
                      <w:bookmarkStart w:id="17" w:name="0-0-0-201055"/>
                      <w:bookmarkEnd w:id="17"/>
                      <w:r w:rsidR="00321BC9" w:rsidRPr="00B5521D">
                        <w:rPr>
                          <w:rFonts w:ascii="Times New Roman" w:hAnsi="Times New Roman" w:cs="Times New Roman"/>
                          <w:i/>
                          <w:iCs/>
                          <w:sz w:val="22"/>
                          <w:szCs w:val="22"/>
                        </w:rPr>
                        <w:t xml:space="preserve"> </w:t>
                      </w:r>
                    </w:p>
                    <w:p w14:paraId="2636A3E8" w14:textId="3BF5ED3F"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An overall balance between the interests of the parties should be maintained.</w:t>
                      </w:r>
                      <w:bookmarkStart w:id="18" w:name="0-0-0-201059"/>
                      <w:bookmarkEnd w:id="18"/>
                      <w:r w:rsidR="00321BC9" w:rsidRPr="00B5521D">
                        <w:rPr>
                          <w:rFonts w:ascii="Times New Roman" w:hAnsi="Times New Roman" w:cs="Times New Roman"/>
                          <w:i/>
                          <w:iCs/>
                          <w:sz w:val="22"/>
                          <w:szCs w:val="22"/>
                        </w:rPr>
                        <w:t xml:space="preserve"> </w:t>
                      </w:r>
                    </w:p>
                    <w:p w14:paraId="193AC730" w14:textId="3A19938D" w:rsidR="00B5521D" w:rsidRPr="00B5521D" w:rsidRDefault="00B5521D" w:rsidP="00FF6240">
                      <w:pPr>
                        <w:spacing w:after="0"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The taxing master should be guided by the general precept that the fees allowed constitute reasonable remuneration for necessary work properly done.</w:t>
                      </w:r>
                      <w:bookmarkStart w:id="19" w:name="0-0-0-201063"/>
                      <w:bookmarkEnd w:id="19"/>
                      <w:r w:rsidR="00321BC9" w:rsidRPr="00B5521D">
                        <w:rPr>
                          <w:rFonts w:ascii="Times New Roman" w:hAnsi="Times New Roman" w:cs="Times New Roman"/>
                          <w:i/>
                          <w:iCs/>
                          <w:sz w:val="22"/>
                          <w:szCs w:val="22"/>
                        </w:rPr>
                        <w:t xml:space="preserve"> </w:t>
                      </w:r>
                    </w:p>
                    <w:p w14:paraId="7EF82FFC" w14:textId="1E1A35F3" w:rsidR="00B5521D" w:rsidRPr="00B5521D" w:rsidRDefault="00B5521D" w:rsidP="00B5521D">
                      <w:pPr>
                        <w:spacing w:line="276" w:lineRule="auto"/>
                        <w:jc w:val="both"/>
                        <w:rPr>
                          <w:rFonts w:ascii="Times New Roman" w:hAnsi="Times New Roman" w:cs="Times New Roman"/>
                          <w:i/>
                          <w:iCs/>
                          <w:sz w:val="22"/>
                          <w:szCs w:val="22"/>
                        </w:rPr>
                      </w:pPr>
                      <w:r w:rsidRPr="00B5521D">
                        <w:rPr>
                          <w:rFonts w:ascii="Times New Roman" w:hAnsi="Times New Roman" w:cs="Times New Roman"/>
                          <w:i/>
                          <w:iCs/>
                          <w:sz w:val="22"/>
                          <w:szCs w:val="22"/>
                        </w:rPr>
                        <w:t>• And the court will not interfere with a ruling made by the taxing master merely because its view differs from his or hers, but only when it is satisfied that the taxing master's view differs so materially from its own that it should be held to vitiate the ruling.</w:t>
                      </w:r>
                      <w:bookmarkStart w:id="20" w:name="0-0-0-201067"/>
                      <w:bookmarkEnd w:id="20"/>
                      <w:r w:rsidR="008113B3">
                        <w:rPr>
                          <w:rFonts w:ascii="Times New Roman" w:hAnsi="Times New Roman" w:cs="Times New Roman"/>
                          <w:i/>
                          <w:iCs/>
                          <w:sz w:val="22"/>
                          <w:szCs w:val="22"/>
                        </w:rPr>
                        <w:t>”</w:t>
                      </w:r>
                      <w:r w:rsidR="00CE7587" w:rsidRPr="00B5521D">
                        <w:rPr>
                          <w:rFonts w:ascii="Times New Roman" w:hAnsi="Times New Roman" w:cs="Times New Roman"/>
                          <w:i/>
                          <w:iCs/>
                          <w:sz w:val="22"/>
                          <w:szCs w:val="22"/>
                        </w:rPr>
                        <w:t xml:space="preserve"> </w:t>
                      </w:r>
                    </w:p>
                    <w:p w14:paraId="30F19543" w14:textId="74C0C17A" w:rsidR="006D485B" w:rsidRPr="00467350" w:rsidRDefault="006D485B" w:rsidP="006D485B">
                      <w:pPr>
                        <w:spacing w:line="276" w:lineRule="auto"/>
                        <w:jc w:val="both"/>
                        <w:rPr>
                          <w:rFonts w:ascii="Times New Roman" w:hAnsi="Times New Roman" w:cs="Times New Roman"/>
                          <w:i/>
                          <w:sz w:val="22"/>
                          <w:szCs w:val="22"/>
                        </w:rPr>
                      </w:pPr>
                    </w:p>
                    <w:p w14:paraId="3EF80781" w14:textId="77777777" w:rsidR="006D485B" w:rsidRPr="00101B97" w:rsidRDefault="006D485B" w:rsidP="006D485B">
                      <w:pPr>
                        <w:spacing w:line="276" w:lineRule="auto"/>
                        <w:rPr>
                          <w:i/>
                          <w:sz w:val="22"/>
                          <w:szCs w:val="22"/>
                        </w:rPr>
                      </w:pPr>
                    </w:p>
                    <w:p w14:paraId="4C44A360" w14:textId="77777777" w:rsidR="006D485B" w:rsidRPr="00101B97" w:rsidRDefault="006D485B" w:rsidP="006D485B">
                      <w:pPr>
                        <w:spacing w:line="276" w:lineRule="auto"/>
                        <w:rPr>
                          <w:i/>
                          <w:sz w:val="22"/>
                          <w:szCs w:val="22"/>
                        </w:rPr>
                      </w:pPr>
                    </w:p>
                  </w:txbxContent>
                </v:textbox>
                <w10:wrap type="square" anchorx="margin"/>
              </v:shape>
            </w:pict>
          </mc:Fallback>
        </mc:AlternateContent>
      </w:r>
      <w:r w:rsidR="001800FE" w:rsidRPr="003657C9">
        <w:rPr>
          <w:rFonts w:ascii="Arial" w:hAnsi="Arial" w:cs="Arial"/>
          <w:b/>
          <w:sz w:val="28"/>
          <w:szCs w:val="24"/>
          <w:u w:val="single"/>
        </w:rPr>
        <w:t>Hennie de Beer Game Lodge v Waterbok Bosveld Plaas</w:t>
      </w:r>
      <w:r w:rsidR="00331B1A">
        <w:rPr>
          <w:rFonts w:ascii="Arial" w:hAnsi="Arial" w:cs="Arial"/>
          <w:sz w:val="28"/>
          <w:szCs w:val="24"/>
          <w:u w:val="single"/>
        </w:rPr>
        <w:t xml:space="preserve"> </w:t>
      </w:r>
      <w:r w:rsidR="005E234E">
        <w:rPr>
          <w:rFonts w:ascii="Arial" w:hAnsi="Arial" w:cs="Arial"/>
          <w:sz w:val="28"/>
          <w:szCs w:val="24"/>
          <w:u w:val="single"/>
        </w:rPr>
        <w:t>2010 (5) SA</w:t>
      </w:r>
      <w:r w:rsidR="00A96D0F">
        <w:rPr>
          <w:rFonts w:ascii="Arial" w:hAnsi="Arial" w:cs="Arial"/>
          <w:sz w:val="28"/>
          <w:szCs w:val="24"/>
          <w:u w:val="single"/>
        </w:rPr>
        <w:t xml:space="preserve"> 124 (CC)</w:t>
      </w:r>
      <w:r w:rsidR="00812CC1">
        <w:rPr>
          <w:rFonts w:ascii="Arial" w:hAnsi="Arial" w:cs="Arial"/>
          <w:sz w:val="28"/>
          <w:szCs w:val="24"/>
          <w:u w:val="single"/>
        </w:rPr>
        <w:t xml:space="preserve"> </w:t>
      </w:r>
      <w:r w:rsidR="001800FE" w:rsidRPr="009B6899">
        <w:rPr>
          <w:rFonts w:ascii="Arial" w:hAnsi="Arial" w:cs="Arial"/>
          <w:sz w:val="28"/>
          <w:szCs w:val="24"/>
          <w:u w:val="single"/>
        </w:rPr>
        <w:t xml:space="preserve"> </w:t>
      </w:r>
    </w:p>
    <w:p w14:paraId="03C8627F" w14:textId="72141E6F" w:rsidR="001F274C" w:rsidRPr="00A96D0F" w:rsidRDefault="001F274C" w:rsidP="002F231C">
      <w:pPr>
        <w:pStyle w:val="NoSpacing"/>
        <w:spacing w:line="276" w:lineRule="auto"/>
        <w:rPr>
          <w:rFonts w:ascii="Arial" w:hAnsi="Arial" w:cs="Arial"/>
          <w:sz w:val="16"/>
          <w:szCs w:val="16"/>
        </w:rPr>
      </w:pPr>
    </w:p>
    <w:p w14:paraId="5D54519E" w14:textId="701EF965" w:rsidR="004E15B9" w:rsidRPr="00C1567B" w:rsidRDefault="00A96D0F" w:rsidP="00C1567B">
      <w:pPr>
        <w:pStyle w:val="NoSpacing"/>
        <w:spacing w:after="120" w:line="276" w:lineRule="auto"/>
        <w:jc w:val="both"/>
        <w:rPr>
          <w:rFonts w:ascii="Arial" w:hAnsi="Arial" w:cs="Arial"/>
          <w:b/>
          <w:sz w:val="24"/>
          <w:szCs w:val="24"/>
          <w:u w:val="single"/>
        </w:rPr>
      </w:pPr>
      <w:r w:rsidRPr="00AB51C6">
        <w:rPr>
          <w:rFonts w:ascii="Arial" w:hAnsi="Arial" w:cs="Arial"/>
          <w:b/>
          <w:sz w:val="24"/>
          <w:szCs w:val="24"/>
          <w:u w:val="single"/>
        </w:rPr>
        <w:t>FACTS:</w:t>
      </w:r>
      <w:r w:rsidR="00C1567B" w:rsidRPr="00C1567B">
        <w:rPr>
          <w:rFonts w:ascii="Arial" w:hAnsi="Arial" w:cs="Arial"/>
          <w:b/>
          <w:sz w:val="24"/>
          <w:szCs w:val="24"/>
        </w:rPr>
        <w:t xml:space="preserve">   </w:t>
      </w:r>
      <w:r w:rsidR="001800FE" w:rsidRPr="00523246">
        <w:rPr>
          <w:rFonts w:ascii="Arial" w:hAnsi="Arial" w:cs="Arial"/>
          <w:sz w:val="24"/>
          <w:szCs w:val="24"/>
        </w:rPr>
        <w:t>The applicant's earlier application</w:t>
      </w:r>
      <w:r w:rsidR="001F274C">
        <w:rPr>
          <w:rFonts w:ascii="Arial" w:hAnsi="Arial" w:cs="Arial"/>
          <w:sz w:val="24"/>
          <w:szCs w:val="24"/>
        </w:rPr>
        <w:t xml:space="preserve"> </w:t>
      </w:r>
      <w:r w:rsidR="001800FE" w:rsidRPr="00523246">
        <w:rPr>
          <w:rFonts w:ascii="Arial" w:hAnsi="Arial" w:cs="Arial"/>
          <w:sz w:val="24"/>
          <w:szCs w:val="24"/>
        </w:rPr>
        <w:t>to the Constitutional Court had been dismissed, and this had attracted a costs order against it. The</w:t>
      </w:r>
      <w:r w:rsidR="001F274C">
        <w:rPr>
          <w:rFonts w:ascii="Arial" w:hAnsi="Arial" w:cs="Arial"/>
          <w:sz w:val="24"/>
          <w:szCs w:val="24"/>
        </w:rPr>
        <w:t xml:space="preserve"> </w:t>
      </w:r>
      <w:r w:rsidR="001800FE" w:rsidRPr="00523246">
        <w:rPr>
          <w:rFonts w:ascii="Arial" w:hAnsi="Arial" w:cs="Arial"/>
          <w:sz w:val="24"/>
          <w:szCs w:val="24"/>
        </w:rPr>
        <w:t>applicant objected to fees allowed by the taxing master pursuant to the costs order, and took the taxation on</w:t>
      </w:r>
      <w:r w:rsidR="001F274C">
        <w:rPr>
          <w:rFonts w:ascii="Arial" w:hAnsi="Arial" w:cs="Arial"/>
          <w:sz w:val="24"/>
          <w:szCs w:val="24"/>
        </w:rPr>
        <w:t xml:space="preserve"> </w:t>
      </w:r>
      <w:r w:rsidR="001800FE" w:rsidRPr="00523246">
        <w:rPr>
          <w:rFonts w:ascii="Arial" w:hAnsi="Arial" w:cs="Arial"/>
          <w:sz w:val="24"/>
          <w:szCs w:val="24"/>
        </w:rPr>
        <w:t>review, disputing the fees allowed to counsel in respect of the drafting of an affidavit resisting</w:t>
      </w:r>
      <w:r w:rsidR="001F274C">
        <w:rPr>
          <w:rFonts w:ascii="Arial" w:hAnsi="Arial" w:cs="Arial"/>
          <w:sz w:val="24"/>
          <w:szCs w:val="24"/>
        </w:rPr>
        <w:t xml:space="preserve"> </w:t>
      </w:r>
      <w:r w:rsidR="001800FE" w:rsidRPr="00523246">
        <w:rPr>
          <w:rFonts w:ascii="Arial" w:hAnsi="Arial" w:cs="Arial"/>
          <w:sz w:val="24"/>
          <w:szCs w:val="24"/>
        </w:rPr>
        <w:t>applicant's failed application. It argued that most of the substance of the affidavit had been</w:t>
      </w:r>
      <w:r w:rsidR="001F274C">
        <w:rPr>
          <w:rFonts w:ascii="Arial" w:hAnsi="Arial" w:cs="Arial"/>
          <w:sz w:val="24"/>
          <w:szCs w:val="24"/>
        </w:rPr>
        <w:t xml:space="preserve"> </w:t>
      </w:r>
      <w:r w:rsidR="001800FE" w:rsidRPr="00523246">
        <w:rPr>
          <w:rFonts w:ascii="Arial" w:hAnsi="Arial" w:cs="Arial"/>
          <w:sz w:val="24"/>
          <w:szCs w:val="24"/>
        </w:rPr>
        <w:t>ventilated in</w:t>
      </w:r>
      <w:r w:rsidR="001F274C">
        <w:rPr>
          <w:rFonts w:ascii="Arial" w:hAnsi="Arial" w:cs="Arial"/>
          <w:sz w:val="24"/>
          <w:szCs w:val="24"/>
        </w:rPr>
        <w:t xml:space="preserve"> </w:t>
      </w:r>
      <w:r w:rsidR="001800FE" w:rsidRPr="00523246">
        <w:rPr>
          <w:rFonts w:ascii="Arial" w:hAnsi="Arial" w:cs="Arial"/>
          <w:sz w:val="24"/>
          <w:szCs w:val="24"/>
        </w:rPr>
        <w:t>previous rounds of the litigation and that the fees were excessive and exorbitant.</w:t>
      </w:r>
      <w:r w:rsidR="00CE7587">
        <w:rPr>
          <w:rFonts w:ascii="Arial" w:hAnsi="Arial" w:cs="Arial"/>
          <w:sz w:val="24"/>
          <w:szCs w:val="24"/>
        </w:rPr>
        <w:t xml:space="preserve"> </w:t>
      </w:r>
      <w:r w:rsidR="00D9084E">
        <w:rPr>
          <w:rFonts w:ascii="Arial" w:hAnsi="Arial" w:cs="Arial"/>
          <w:sz w:val="24"/>
          <w:szCs w:val="24"/>
        </w:rPr>
        <w:t>The court held that i</w:t>
      </w:r>
      <w:r w:rsidR="001800FE" w:rsidRPr="00523246">
        <w:rPr>
          <w:rFonts w:ascii="Arial" w:hAnsi="Arial" w:cs="Arial"/>
          <w:sz w:val="24"/>
          <w:szCs w:val="24"/>
        </w:rPr>
        <w:t>n essence the applicant's</w:t>
      </w:r>
      <w:r w:rsidR="001F274C">
        <w:rPr>
          <w:rFonts w:ascii="Arial" w:hAnsi="Arial" w:cs="Arial"/>
          <w:sz w:val="24"/>
          <w:szCs w:val="24"/>
        </w:rPr>
        <w:t xml:space="preserve"> </w:t>
      </w:r>
      <w:r w:rsidR="001800FE" w:rsidRPr="00523246">
        <w:rPr>
          <w:rFonts w:ascii="Arial" w:hAnsi="Arial" w:cs="Arial"/>
          <w:sz w:val="24"/>
          <w:szCs w:val="24"/>
        </w:rPr>
        <w:t>complaint was that the same facts and arguments presented themselves during all the preceding court</w:t>
      </w:r>
      <w:r w:rsidR="001F274C">
        <w:rPr>
          <w:rFonts w:ascii="Arial" w:hAnsi="Arial" w:cs="Arial"/>
          <w:sz w:val="24"/>
          <w:szCs w:val="24"/>
        </w:rPr>
        <w:t xml:space="preserve"> </w:t>
      </w:r>
      <w:r w:rsidR="001800FE" w:rsidRPr="00523246">
        <w:rPr>
          <w:rFonts w:ascii="Arial" w:hAnsi="Arial" w:cs="Arial"/>
          <w:sz w:val="24"/>
          <w:szCs w:val="24"/>
        </w:rPr>
        <w:t>proceedings in which counsel was involved, rendering the hours allowed for the affidavit unreasonable.</w:t>
      </w:r>
      <w:r w:rsidR="001F274C">
        <w:rPr>
          <w:rFonts w:ascii="Arial" w:hAnsi="Arial" w:cs="Arial"/>
          <w:sz w:val="24"/>
          <w:szCs w:val="24"/>
        </w:rPr>
        <w:t xml:space="preserve"> </w:t>
      </w:r>
    </w:p>
    <w:p w14:paraId="7A4536DD" w14:textId="6B4DA142" w:rsidR="00D72D1C" w:rsidRPr="00F85BB8" w:rsidRDefault="00CE7587" w:rsidP="00A21C9B">
      <w:pPr>
        <w:pStyle w:val="NoSpacing"/>
        <w:spacing w:after="120" w:line="276" w:lineRule="auto"/>
        <w:jc w:val="both"/>
        <w:rPr>
          <w:rFonts w:ascii="Arial" w:hAnsi="Arial" w:cs="Arial"/>
          <w:sz w:val="24"/>
          <w:szCs w:val="24"/>
          <w:u w:val="single"/>
        </w:rPr>
      </w:pPr>
      <w:r>
        <w:rPr>
          <w:rFonts w:ascii="Arial" w:hAnsi="Arial" w:cs="Arial"/>
          <w:sz w:val="24"/>
          <w:szCs w:val="24"/>
        </w:rPr>
        <w:t>The</w:t>
      </w:r>
      <w:r w:rsidR="00517BB4">
        <w:rPr>
          <w:rFonts w:ascii="Arial" w:hAnsi="Arial" w:cs="Arial"/>
          <w:sz w:val="24"/>
          <w:szCs w:val="24"/>
        </w:rPr>
        <w:t xml:space="preserve"> court </w:t>
      </w:r>
      <w:r w:rsidR="001D3565">
        <w:rPr>
          <w:rFonts w:ascii="Arial" w:hAnsi="Arial" w:cs="Arial"/>
          <w:sz w:val="24"/>
          <w:szCs w:val="24"/>
        </w:rPr>
        <w:t>referred</w:t>
      </w:r>
      <w:r w:rsidR="002B6EB5" w:rsidRPr="002B6EB5">
        <w:rPr>
          <w:rFonts w:ascii="Arial" w:hAnsi="Arial" w:cs="Arial"/>
          <w:sz w:val="24"/>
          <w:szCs w:val="24"/>
        </w:rPr>
        <w:t xml:space="preserve"> to the general principles guiding the review of a taxation, in </w:t>
      </w:r>
      <w:r w:rsidR="002B6EB5" w:rsidRPr="002B6EB5">
        <w:rPr>
          <w:rFonts w:ascii="Arial" w:hAnsi="Arial" w:cs="Arial"/>
          <w:i/>
          <w:iCs/>
          <w:sz w:val="24"/>
          <w:szCs w:val="24"/>
        </w:rPr>
        <w:t>President of the Republic of South Africa and O</w:t>
      </w:r>
      <w:r w:rsidR="00D12B8B">
        <w:rPr>
          <w:rFonts w:ascii="Arial" w:hAnsi="Arial" w:cs="Arial"/>
          <w:i/>
          <w:iCs/>
          <w:sz w:val="24"/>
          <w:szCs w:val="24"/>
        </w:rPr>
        <w:t>rs</w:t>
      </w:r>
      <w:r w:rsidR="002B6EB5" w:rsidRPr="002B6EB5">
        <w:rPr>
          <w:rFonts w:ascii="Arial" w:hAnsi="Arial" w:cs="Arial"/>
          <w:i/>
          <w:iCs/>
          <w:sz w:val="24"/>
          <w:szCs w:val="24"/>
        </w:rPr>
        <w:t xml:space="preserve"> v Gauteng Lions Rugby Union</w:t>
      </w:r>
      <w:r w:rsidR="002B6EB5" w:rsidRPr="002B6EB5">
        <w:rPr>
          <w:rFonts w:ascii="Arial" w:hAnsi="Arial" w:cs="Arial"/>
          <w:sz w:val="24"/>
          <w:szCs w:val="24"/>
        </w:rPr>
        <w:t> </w:t>
      </w:r>
      <w:hyperlink r:id="rId7" w:tgtFrame="main" w:history="1">
        <w:r w:rsidR="002B6EB5" w:rsidRPr="002B6EB5">
          <w:rPr>
            <w:rStyle w:val="Hyperlink"/>
            <w:rFonts w:ascii="Arial" w:hAnsi="Arial" w:cs="Arial"/>
            <w:sz w:val="24"/>
            <w:szCs w:val="24"/>
          </w:rPr>
          <w:t>2002 (2) SA 64 (CC)</w:t>
        </w:r>
      </w:hyperlink>
      <w:r w:rsidR="002B6EB5" w:rsidRPr="002B6EB5">
        <w:rPr>
          <w:rFonts w:ascii="Arial" w:hAnsi="Arial" w:cs="Arial"/>
          <w:sz w:val="24"/>
          <w:szCs w:val="24"/>
        </w:rPr>
        <w:t xml:space="preserve">, was to be added the principle that </w:t>
      </w:r>
      <w:r w:rsidR="002B6EB5" w:rsidRPr="00F85BB8">
        <w:rPr>
          <w:rFonts w:ascii="Arial" w:hAnsi="Arial" w:cs="Arial"/>
          <w:b/>
          <w:sz w:val="24"/>
          <w:szCs w:val="24"/>
          <w:u w:val="single"/>
        </w:rPr>
        <w:t>time charged was not decisive</w:t>
      </w:r>
      <w:r w:rsidR="002B6EB5" w:rsidRPr="00F85BB8">
        <w:rPr>
          <w:rFonts w:ascii="Arial" w:hAnsi="Arial" w:cs="Arial"/>
          <w:sz w:val="24"/>
          <w:szCs w:val="24"/>
          <w:u w:val="single"/>
        </w:rPr>
        <w:t xml:space="preserve"> </w:t>
      </w:r>
      <w:r w:rsidR="002B6EB5" w:rsidRPr="00A860A6">
        <w:rPr>
          <w:rFonts w:ascii="Arial" w:hAnsi="Arial" w:cs="Arial"/>
          <w:b/>
          <w:sz w:val="24"/>
          <w:szCs w:val="24"/>
          <w:u w:val="single"/>
        </w:rPr>
        <w:t>in determining the reasonableness, between party and party, of a fee for that work</w:t>
      </w:r>
      <w:r w:rsidR="002B6EB5" w:rsidRPr="00F85BB8">
        <w:rPr>
          <w:rFonts w:ascii="Arial" w:hAnsi="Arial" w:cs="Arial"/>
          <w:sz w:val="24"/>
          <w:szCs w:val="24"/>
          <w:u w:val="single"/>
        </w:rPr>
        <w:t>, the reason being that time alone would put a premium on slow and inefficient work and would be conducive to the charging of fees wholly out of proportion to the value of services rendered.</w:t>
      </w:r>
    </w:p>
    <w:p w14:paraId="3A2D1D73" w14:textId="234D92E9" w:rsidR="00E13630" w:rsidRPr="00523246" w:rsidRDefault="001800FE" w:rsidP="00D23816">
      <w:pPr>
        <w:pStyle w:val="NoSpacing"/>
        <w:spacing w:line="276" w:lineRule="auto"/>
        <w:jc w:val="both"/>
        <w:rPr>
          <w:rFonts w:ascii="Arial" w:hAnsi="Arial" w:cs="Arial"/>
          <w:sz w:val="24"/>
          <w:szCs w:val="24"/>
        </w:rPr>
      </w:pPr>
      <w:r w:rsidRPr="00523246">
        <w:rPr>
          <w:rFonts w:ascii="Arial" w:hAnsi="Arial" w:cs="Arial"/>
          <w:sz w:val="24"/>
          <w:szCs w:val="24"/>
        </w:rPr>
        <w:t xml:space="preserve">The </w:t>
      </w:r>
      <w:r w:rsidR="006678A5">
        <w:rPr>
          <w:rFonts w:ascii="Arial" w:hAnsi="Arial" w:cs="Arial"/>
          <w:sz w:val="24"/>
          <w:szCs w:val="24"/>
        </w:rPr>
        <w:t xml:space="preserve">court held that </w:t>
      </w:r>
      <w:r w:rsidR="00D72D1C">
        <w:rPr>
          <w:rFonts w:ascii="Arial" w:hAnsi="Arial" w:cs="Arial"/>
          <w:sz w:val="24"/>
          <w:szCs w:val="24"/>
        </w:rPr>
        <w:t xml:space="preserve">the </w:t>
      </w:r>
      <w:r w:rsidRPr="00523246">
        <w:rPr>
          <w:rFonts w:ascii="Arial" w:hAnsi="Arial" w:cs="Arial"/>
          <w:sz w:val="24"/>
          <w:szCs w:val="24"/>
        </w:rPr>
        <w:t>taxing master had erred in allowing counsel 61 hours for drafting an affidavit that was, in its greatest</w:t>
      </w:r>
      <w:r w:rsidR="00AB51C6">
        <w:rPr>
          <w:rFonts w:ascii="Arial" w:hAnsi="Arial" w:cs="Arial"/>
          <w:sz w:val="24"/>
          <w:szCs w:val="24"/>
        </w:rPr>
        <w:t xml:space="preserve"> </w:t>
      </w:r>
      <w:r w:rsidRPr="00523246">
        <w:rPr>
          <w:rFonts w:ascii="Arial" w:hAnsi="Arial" w:cs="Arial"/>
          <w:sz w:val="24"/>
          <w:szCs w:val="24"/>
        </w:rPr>
        <w:t xml:space="preserve">part, a rehearsal of issues that had been well traversed in previous court proceedings. </w:t>
      </w:r>
      <w:r w:rsidRPr="003657C9">
        <w:rPr>
          <w:rFonts w:ascii="Arial" w:hAnsi="Arial" w:cs="Arial"/>
          <w:sz w:val="24"/>
          <w:szCs w:val="24"/>
          <w:u w:val="single"/>
        </w:rPr>
        <w:t>A competent</w:t>
      </w:r>
      <w:r w:rsidR="00AB51C6" w:rsidRPr="003657C9">
        <w:rPr>
          <w:rFonts w:ascii="Arial" w:hAnsi="Arial" w:cs="Arial"/>
          <w:sz w:val="24"/>
          <w:szCs w:val="24"/>
          <w:u w:val="single"/>
        </w:rPr>
        <w:t xml:space="preserve"> </w:t>
      </w:r>
      <w:r w:rsidRPr="003657C9">
        <w:rPr>
          <w:rFonts w:ascii="Arial" w:hAnsi="Arial" w:cs="Arial"/>
          <w:sz w:val="24"/>
          <w:szCs w:val="24"/>
          <w:u w:val="single"/>
        </w:rPr>
        <w:t>professional, acquainted with the issues, as counsel would have been in this case, would have required no</w:t>
      </w:r>
      <w:r w:rsidR="00AB51C6" w:rsidRPr="003657C9">
        <w:rPr>
          <w:rFonts w:ascii="Arial" w:hAnsi="Arial" w:cs="Arial"/>
          <w:sz w:val="24"/>
          <w:szCs w:val="24"/>
          <w:u w:val="single"/>
        </w:rPr>
        <w:t xml:space="preserve"> </w:t>
      </w:r>
      <w:r w:rsidRPr="003657C9">
        <w:rPr>
          <w:rFonts w:ascii="Arial" w:hAnsi="Arial" w:cs="Arial"/>
          <w:sz w:val="24"/>
          <w:szCs w:val="24"/>
          <w:u w:val="single"/>
        </w:rPr>
        <w:t>more than 20 hours for the task.</w:t>
      </w:r>
      <w:r w:rsidR="00FF6240" w:rsidRPr="003657C9">
        <w:rPr>
          <w:rFonts w:ascii="Arial" w:hAnsi="Arial" w:cs="Arial"/>
          <w:sz w:val="24"/>
          <w:szCs w:val="24"/>
          <w:u w:val="single"/>
        </w:rPr>
        <w:t xml:space="preserve"> </w:t>
      </w:r>
      <w:r w:rsidRPr="003657C9">
        <w:rPr>
          <w:rFonts w:ascii="Arial" w:hAnsi="Arial" w:cs="Arial"/>
          <w:sz w:val="24"/>
          <w:szCs w:val="24"/>
          <w:u w:val="single"/>
        </w:rPr>
        <w:t>Taxation was to afford reasonable remuneration for work necessarily and properly done.</w:t>
      </w:r>
      <w:r w:rsidRPr="00523246">
        <w:rPr>
          <w:rFonts w:ascii="Arial" w:hAnsi="Arial" w:cs="Arial"/>
          <w:sz w:val="24"/>
          <w:szCs w:val="24"/>
        </w:rPr>
        <w:t xml:space="preserve"> The taxing</w:t>
      </w:r>
      <w:r w:rsidR="00AB51C6">
        <w:rPr>
          <w:rFonts w:ascii="Arial" w:hAnsi="Arial" w:cs="Arial"/>
          <w:sz w:val="24"/>
          <w:szCs w:val="24"/>
        </w:rPr>
        <w:t xml:space="preserve"> </w:t>
      </w:r>
      <w:r w:rsidRPr="00523246">
        <w:rPr>
          <w:rFonts w:ascii="Arial" w:hAnsi="Arial" w:cs="Arial"/>
          <w:sz w:val="24"/>
          <w:szCs w:val="24"/>
        </w:rPr>
        <w:t>master's failure to find the correct and equitable balance warranted the court's intervention. In determining</w:t>
      </w:r>
      <w:r w:rsidR="00AB51C6">
        <w:rPr>
          <w:rFonts w:ascii="Arial" w:hAnsi="Arial" w:cs="Arial"/>
          <w:sz w:val="24"/>
          <w:szCs w:val="24"/>
        </w:rPr>
        <w:t xml:space="preserve"> </w:t>
      </w:r>
      <w:r w:rsidRPr="00523246">
        <w:rPr>
          <w:rFonts w:ascii="Arial" w:hAnsi="Arial" w:cs="Arial"/>
          <w:sz w:val="24"/>
          <w:szCs w:val="24"/>
        </w:rPr>
        <w:t>reasonable remuneration for counsel, the court was in a better position than the taxing master to</w:t>
      </w:r>
      <w:r w:rsidR="00AB51C6">
        <w:rPr>
          <w:rFonts w:ascii="Arial" w:hAnsi="Arial" w:cs="Arial"/>
          <w:sz w:val="24"/>
          <w:szCs w:val="24"/>
        </w:rPr>
        <w:t xml:space="preserve"> </w:t>
      </w:r>
      <w:r w:rsidRPr="00523246">
        <w:rPr>
          <w:rFonts w:ascii="Arial" w:hAnsi="Arial" w:cs="Arial"/>
          <w:sz w:val="24"/>
          <w:szCs w:val="24"/>
        </w:rPr>
        <w:t>assess what went into the affidavit and, given that the sole dispute was the amount of hours charged, it</w:t>
      </w:r>
      <w:r w:rsidR="00AB51C6">
        <w:rPr>
          <w:rFonts w:ascii="Arial" w:hAnsi="Arial" w:cs="Arial"/>
          <w:sz w:val="24"/>
          <w:szCs w:val="24"/>
        </w:rPr>
        <w:t xml:space="preserve"> </w:t>
      </w:r>
      <w:r w:rsidRPr="00523246">
        <w:rPr>
          <w:rFonts w:ascii="Arial" w:hAnsi="Arial" w:cs="Arial"/>
          <w:sz w:val="24"/>
          <w:szCs w:val="24"/>
        </w:rPr>
        <w:t>was appropriate for the court to finalise the disputed bill itself without remitting it to the taxing</w:t>
      </w:r>
      <w:r w:rsidR="0092684A">
        <w:rPr>
          <w:rFonts w:ascii="Arial" w:hAnsi="Arial" w:cs="Arial"/>
          <w:sz w:val="24"/>
          <w:szCs w:val="24"/>
        </w:rPr>
        <w:t xml:space="preserve"> </w:t>
      </w:r>
      <w:r w:rsidRPr="00523246">
        <w:rPr>
          <w:rFonts w:ascii="Arial" w:hAnsi="Arial" w:cs="Arial"/>
          <w:sz w:val="24"/>
          <w:szCs w:val="24"/>
        </w:rPr>
        <w:t>master. The relevant items of the taxing master's allocatur were set aside and 61 hours replaced with 20</w:t>
      </w:r>
      <w:r w:rsidR="005E49DB">
        <w:rPr>
          <w:rFonts w:ascii="Arial" w:hAnsi="Arial" w:cs="Arial"/>
          <w:sz w:val="24"/>
          <w:szCs w:val="24"/>
        </w:rPr>
        <w:t xml:space="preserve"> </w:t>
      </w:r>
      <w:r w:rsidRPr="00523246">
        <w:rPr>
          <w:rFonts w:ascii="Arial" w:hAnsi="Arial" w:cs="Arial"/>
          <w:sz w:val="24"/>
          <w:szCs w:val="24"/>
        </w:rPr>
        <w:t>hours.</w:t>
      </w:r>
    </w:p>
    <w:sectPr w:rsidR="00E13630" w:rsidRPr="00523246" w:rsidSect="00795AB2">
      <w:headerReference w:type="default" r:id="rId8"/>
      <w:footerReference w:type="default" r:id="rId9"/>
      <w:pgSz w:w="12240" w:h="15840"/>
      <w:pgMar w:top="1440" w:right="1440" w:bottom="1440" w:left="1440" w:header="288" w:footer="144" w:gutter="0"/>
      <w:pgNumType w:start="8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01EF5" w14:textId="77777777" w:rsidR="00083624" w:rsidRDefault="00083624" w:rsidP="00D3489B">
      <w:pPr>
        <w:spacing w:after="0" w:line="240" w:lineRule="auto"/>
      </w:pPr>
      <w:r>
        <w:separator/>
      </w:r>
    </w:p>
  </w:endnote>
  <w:endnote w:type="continuationSeparator" w:id="0">
    <w:p w14:paraId="7A41C37A" w14:textId="77777777" w:rsidR="00083624" w:rsidRDefault="00083624" w:rsidP="00D34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8251427"/>
      <w:docPartObj>
        <w:docPartGallery w:val="Page Numbers (Bottom of Page)"/>
        <w:docPartUnique/>
      </w:docPartObj>
    </w:sdtPr>
    <w:sdtEndPr>
      <w:rPr>
        <w:noProof/>
      </w:rPr>
    </w:sdtEndPr>
    <w:sdtContent>
      <w:p w14:paraId="49D95101" w14:textId="3A911AAA" w:rsidR="00795AB2" w:rsidRDefault="00795AB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C3CF2C" w14:textId="77777777" w:rsidR="00795AB2" w:rsidRDefault="00795A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67DFCE" w14:textId="77777777" w:rsidR="00083624" w:rsidRDefault="00083624" w:rsidP="00D3489B">
      <w:pPr>
        <w:spacing w:after="0" w:line="240" w:lineRule="auto"/>
      </w:pPr>
      <w:r>
        <w:separator/>
      </w:r>
    </w:p>
  </w:footnote>
  <w:footnote w:type="continuationSeparator" w:id="0">
    <w:p w14:paraId="19D1E14F" w14:textId="77777777" w:rsidR="00083624" w:rsidRDefault="00083624" w:rsidP="00D348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33B078" w14:textId="4EC58120" w:rsidR="00D3489B" w:rsidRPr="00F91FA2" w:rsidRDefault="00083624">
    <w:pPr>
      <w:pStyle w:val="Header"/>
      <w:tabs>
        <w:tab w:val="clear" w:pos="4680"/>
        <w:tab w:val="clear" w:pos="9360"/>
      </w:tabs>
      <w:jc w:val="right"/>
      <w:rPr>
        <w:rFonts w:ascii="Times New Roman" w:hAnsi="Times New Roman" w:cs="Times New Roman"/>
        <w:sz w:val="24"/>
        <w:szCs w:val="24"/>
      </w:rPr>
    </w:pPr>
    <w:sdt>
      <w:sdtPr>
        <w:rPr>
          <w:rFonts w:ascii="Times New Roman" w:hAnsi="Times New Roman" w:cs="Times New Roman"/>
          <w:sz w:val="24"/>
          <w:szCs w:val="24"/>
        </w:rPr>
        <w:alias w:val="Title"/>
        <w:tag w:val=""/>
        <w:id w:val="664756013"/>
        <w:placeholder>
          <w:docPart w:val="F39BD13844B94BDA99CFC06E851E7BD8"/>
        </w:placeholder>
        <w:dataBinding w:prefixMappings="xmlns:ns0='http://purl.org/dc/elements/1.1/' xmlns:ns1='http://schemas.openxmlformats.org/package/2006/metadata/core-properties' " w:xpath="/ns1:coreProperties[1]/ns0:title[1]" w:storeItemID="{6C3C8BC8-F283-45AE-878A-BAB7291924A1}"/>
        <w:text/>
      </w:sdtPr>
      <w:sdtEndPr/>
      <w:sdtContent>
        <w:r w:rsidR="00D3489B" w:rsidRPr="00F91FA2">
          <w:rPr>
            <w:rFonts w:ascii="Times New Roman" w:hAnsi="Times New Roman" w:cs="Times New Roman"/>
            <w:sz w:val="24"/>
            <w:szCs w:val="24"/>
          </w:rPr>
          <w:t>Fees, Contingency Fees</w:t>
        </w:r>
        <w:r w:rsidR="00F91FA2" w:rsidRPr="00F91FA2">
          <w:rPr>
            <w:rFonts w:ascii="Times New Roman" w:hAnsi="Times New Roman" w:cs="Times New Roman"/>
            <w:sz w:val="24"/>
            <w:szCs w:val="24"/>
          </w:rPr>
          <w:t xml:space="preserve"> and Champerty</w:t>
        </w:r>
      </w:sdtContent>
    </w:sdt>
    <w:r w:rsidR="00D3489B" w:rsidRPr="00F91FA2">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7B958171767845669F3AB0BBCFC67E5A"/>
        </w:placeholder>
        <w:dataBinding w:prefixMappings="xmlns:ns0='http://purl.org/dc/elements/1.1/' xmlns:ns1='http://schemas.openxmlformats.org/package/2006/metadata/core-properties' " w:xpath="/ns1:coreProperties[1]/ns0:creator[1]" w:storeItemID="{6C3C8BC8-F283-45AE-878A-BAB7291924A1}"/>
        <w:text/>
      </w:sdtPr>
      <w:sdtEndPr/>
      <w:sdtContent>
        <w:r w:rsidR="00F91FA2" w:rsidRPr="00F91FA2">
          <w:rPr>
            <w:rFonts w:ascii="Times New Roman" w:hAnsi="Times New Roman" w:cs="Times New Roman"/>
            <w:sz w:val="24"/>
            <w:szCs w:val="24"/>
          </w:rPr>
          <w:t>Ethics</w:t>
        </w:r>
      </w:sdtContent>
    </w:sdt>
  </w:p>
  <w:p w14:paraId="3503F01D" w14:textId="77777777" w:rsidR="00D3489B" w:rsidRPr="00F91FA2" w:rsidRDefault="00D3489B">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0FE"/>
    <w:rsid w:val="00004A01"/>
    <w:rsid w:val="00021350"/>
    <w:rsid w:val="0004317A"/>
    <w:rsid w:val="0006043B"/>
    <w:rsid w:val="000605F5"/>
    <w:rsid w:val="00061CDF"/>
    <w:rsid w:val="0007135D"/>
    <w:rsid w:val="00081BAE"/>
    <w:rsid w:val="00083624"/>
    <w:rsid w:val="00084A6E"/>
    <w:rsid w:val="0009151E"/>
    <w:rsid w:val="000B697D"/>
    <w:rsid w:val="000C73D1"/>
    <w:rsid w:val="000C796A"/>
    <w:rsid w:val="0010665D"/>
    <w:rsid w:val="0011020A"/>
    <w:rsid w:val="00154028"/>
    <w:rsid w:val="00156100"/>
    <w:rsid w:val="00165D3F"/>
    <w:rsid w:val="00170790"/>
    <w:rsid w:val="001800FE"/>
    <w:rsid w:val="00181F2F"/>
    <w:rsid w:val="00191327"/>
    <w:rsid w:val="00193F74"/>
    <w:rsid w:val="001A74E6"/>
    <w:rsid w:val="001D2976"/>
    <w:rsid w:val="001D3565"/>
    <w:rsid w:val="001F1710"/>
    <w:rsid w:val="001F274C"/>
    <w:rsid w:val="001F4AFD"/>
    <w:rsid w:val="00200BB1"/>
    <w:rsid w:val="00224916"/>
    <w:rsid w:val="002345FD"/>
    <w:rsid w:val="002440A5"/>
    <w:rsid w:val="00265DB8"/>
    <w:rsid w:val="00290495"/>
    <w:rsid w:val="002B2886"/>
    <w:rsid w:val="002B6EB5"/>
    <w:rsid w:val="002D3AC6"/>
    <w:rsid w:val="002D7001"/>
    <w:rsid w:val="002E217B"/>
    <w:rsid w:val="002E2456"/>
    <w:rsid w:val="002E3DFD"/>
    <w:rsid w:val="002F231C"/>
    <w:rsid w:val="002F7E64"/>
    <w:rsid w:val="00315A1E"/>
    <w:rsid w:val="00321BC9"/>
    <w:rsid w:val="003241C9"/>
    <w:rsid w:val="00330B75"/>
    <w:rsid w:val="00331B1A"/>
    <w:rsid w:val="00335368"/>
    <w:rsid w:val="00352553"/>
    <w:rsid w:val="003610D8"/>
    <w:rsid w:val="003657C9"/>
    <w:rsid w:val="003749BB"/>
    <w:rsid w:val="00377EBC"/>
    <w:rsid w:val="0038524B"/>
    <w:rsid w:val="00385F6C"/>
    <w:rsid w:val="003A1A2B"/>
    <w:rsid w:val="003B40FE"/>
    <w:rsid w:val="003C3B9A"/>
    <w:rsid w:val="003D0D76"/>
    <w:rsid w:val="003D0DF7"/>
    <w:rsid w:val="003F5FE3"/>
    <w:rsid w:val="00412D4E"/>
    <w:rsid w:val="004139BA"/>
    <w:rsid w:val="0041442F"/>
    <w:rsid w:val="00422815"/>
    <w:rsid w:val="004254E2"/>
    <w:rsid w:val="00441097"/>
    <w:rsid w:val="00467350"/>
    <w:rsid w:val="00474250"/>
    <w:rsid w:val="0048043A"/>
    <w:rsid w:val="004904C0"/>
    <w:rsid w:val="004A0090"/>
    <w:rsid w:val="004B7F77"/>
    <w:rsid w:val="004D2D17"/>
    <w:rsid w:val="004E08A4"/>
    <w:rsid w:val="004E15B9"/>
    <w:rsid w:val="00502F1D"/>
    <w:rsid w:val="00517BB4"/>
    <w:rsid w:val="00523246"/>
    <w:rsid w:val="005467BD"/>
    <w:rsid w:val="005653B0"/>
    <w:rsid w:val="0056667D"/>
    <w:rsid w:val="00582A45"/>
    <w:rsid w:val="005A3961"/>
    <w:rsid w:val="005A74C4"/>
    <w:rsid w:val="005B7023"/>
    <w:rsid w:val="005D0270"/>
    <w:rsid w:val="005E234E"/>
    <w:rsid w:val="005E49DB"/>
    <w:rsid w:val="0060043C"/>
    <w:rsid w:val="00604E01"/>
    <w:rsid w:val="00616011"/>
    <w:rsid w:val="00636FE6"/>
    <w:rsid w:val="006504B6"/>
    <w:rsid w:val="006667AB"/>
    <w:rsid w:val="00667183"/>
    <w:rsid w:val="006678A5"/>
    <w:rsid w:val="006A51BE"/>
    <w:rsid w:val="006B5E93"/>
    <w:rsid w:val="006C1D0B"/>
    <w:rsid w:val="006D485B"/>
    <w:rsid w:val="007078A5"/>
    <w:rsid w:val="00720266"/>
    <w:rsid w:val="00720BAC"/>
    <w:rsid w:val="007403BA"/>
    <w:rsid w:val="007709CE"/>
    <w:rsid w:val="007807BE"/>
    <w:rsid w:val="00793205"/>
    <w:rsid w:val="00795AB2"/>
    <w:rsid w:val="007C58EE"/>
    <w:rsid w:val="007E1C11"/>
    <w:rsid w:val="007E264F"/>
    <w:rsid w:val="007E7F96"/>
    <w:rsid w:val="007F76AE"/>
    <w:rsid w:val="00801DF6"/>
    <w:rsid w:val="008113B3"/>
    <w:rsid w:val="0081256A"/>
    <w:rsid w:val="00812CC1"/>
    <w:rsid w:val="0081300D"/>
    <w:rsid w:val="0084485E"/>
    <w:rsid w:val="008468C0"/>
    <w:rsid w:val="0085113B"/>
    <w:rsid w:val="0085573D"/>
    <w:rsid w:val="00865408"/>
    <w:rsid w:val="0086735D"/>
    <w:rsid w:val="00883D3D"/>
    <w:rsid w:val="008A15A1"/>
    <w:rsid w:val="008A307D"/>
    <w:rsid w:val="008A755E"/>
    <w:rsid w:val="008C1EBA"/>
    <w:rsid w:val="008D526B"/>
    <w:rsid w:val="008D5EDA"/>
    <w:rsid w:val="008E6D13"/>
    <w:rsid w:val="008F6A41"/>
    <w:rsid w:val="00903E3F"/>
    <w:rsid w:val="009042A0"/>
    <w:rsid w:val="00904E05"/>
    <w:rsid w:val="0092684A"/>
    <w:rsid w:val="00946A44"/>
    <w:rsid w:val="0095211C"/>
    <w:rsid w:val="00964CED"/>
    <w:rsid w:val="00973FDA"/>
    <w:rsid w:val="0098319C"/>
    <w:rsid w:val="009919C2"/>
    <w:rsid w:val="009A111E"/>
    <w:rsid w:val="009B0769"/>
    <w:rsid w:val="009B3D04"/>
    <w:rsid w:val="009B5408"/>
    <w:rsid w:val="009B6899"/>
    <w:rsid w:val="009D6358"/>
    <w:rsid w:val="009E1570"/>
    <w:rsid w:val="009E521C"/>
    <w:rsid w:val="009F0D3D"/>
    <w:rsid w:val="009F16A6"/>
    <w:rsid w:val="009F3307"/>
    <w:rsid w:val="009F4E11"/>
    <w:rsid w:val="00A03529"/>
    <w:rsid w:val="00A0475B"/>
    <w:rsid w:val="00A21C9B"/>
    <w:rsid w:val="00A26228"/>
    <w:rsid w:val="00A37067"/>
    <w:rsid w:val="00A4020B"/>
    <w:rsid w:val="00A53DF8"/>
    <w:rsid w:val="00A56ADC"/>
    <w:rsid w:val="00A61A1E"/>
    <w:rsid w:val="00A860A6"/>
    <w:rsid w:val="00A86953"/>
    <w:rsid w:val="00A91D4B"/>
    <w:rsid w:val="00A96D0F"/>
    <w:rsid w:val="00AB4FB7"/>
    <w:rsid w:val="00AB51C6"/>
    <w:rsid w:val="00AB7949"/>
    <w:rsid w:val="00AC393C"/>
    <w:rsid w:val="00AE1BB1"/>
    <w:rsid w:val="00AE5AA8"/>
    <w:rsid w:val="00B114A8"/>
    <w:rsid w:val="00B16E0B"/>
    <w:rsid w:val="00B42F3F"/>
    <w:rsid w:val="00B45A20"/>
    <w:rsid w:val="00B5521D"/>
    <w:rsid w:val="00B608B5"/>
    <w:rsid w:val="00B74727"/>
    <w:rsid w:val="00B74B70"/>
    <w:rsid w:val="00B753F3"/>
    <w:rsid w:val="00B87D1B"/>
    <w:rsid w:val="00BB0761"/>
    <w:rsid w:val="00BB4483"/>
    <w:rsid w:val="00C1567B"/>
    <w:rsid w:val="00C53689"/>
    <w:rsid w:val="00C53F56"/>
    <w:rsid w:val="00C679A8"/>
    <w:rsid w:val="00C82041"/>
    <w:rsid w:val="00C92D35"/>
    <w:rsid w:val="00CB3E71"/>
    <w:rsid w:val="00CB53CF"/>
    <w:rsid w:val="00CB776D"/>
    <w:rsid w:val="00CC6A3A"/>
    <w:rsid w:val="00CD3939"/>
    <w:rsid w:val="00CD491D"/>
    <w:rsid w:val="00CE7587"/>
    <w:rsid w:val="00D12B8B"/>
    <w:rsid w:val="00D23816"/>
    <w:rsid w:val="00D31A13"/>
    <w:rsid w:val="00D3489B"/>
    <w:rsid w:val="00D618C2"/>
    <w:rsid w:val="00D72D1C"/>
    <w:rsid w:val="00D9084E"/>
    <w:rsid w:val="00D93450"/>
    <w:rsid w:val="00DC00D5"/>
    <w:rsid w:val="00DC1C44"/>
    <w:rsid w:val="00DC28C9"/>
    <w:rsid w:val="00DE0E7F"/>
    <w:rsid w:val="00DE1CF1"/>
    <w:rsid w:val="00DE5543"/>
    <w:rsid w:val="00DF078A"/>
    <w:rsid w:val="00DF59C3"/>
    <w:rsid w:val="00DF5D59"/>
    <w:rsid w:val="00E01C73"/>
    <w:rsid w:val="00E07B87"/>
    <w:rsid w:val="00E13630"/>
    <w:rsid w:val="00E27C20"/>
    <w:rsid w:val="00E3376A"/>
    <w:rsid w:val="00E64B45"/>
    <w:rsid w:val="00E73306"/>
    <w:rsid w:val="00E80031"/>
    <w:rsid w:val="00E8659D"/>
    <w:rsid w:val="00E93482"/>
    <w:rsid w:val="00EA47EF"/>
    <w:rsid w:val="00EB58B0"/>
    <w:rsid w:val="00EC0F3A"/>
    <w:rsid w:val="00ED0C53"/>
    <w:rsid w:val="00EE1AD4"/>
    <w:rsid w:val="00EE23C3"/>
    <w:rsid w:val="00F34CE4"/>
    <w:rsid w:val="00F37F43"/>
    <w:rsid w:val="00F41BEB"/>
    <w:rsid w:val="00F43C09"/>
    <w:rsid w:val="00F72B06"/>
    <w:rsid w:val="00F85BB8"/>
    <w:rsid w:val="00F87492"/>
    <w:rsid w:val="00F90F31"/>
    <w:rsid w:val="00F91FA2"/>
    <w:rsid w:val="00F9431D"/>
    <w:rsid w:val="00FA4915"/>
    <w:rsid w:val="00FA622F"/>
    <w:rsid w:val="00FC5028"/>
    <w:rsid w:val="00FD133E"/>
    <w:rsid w:val="00FD46E4"/>
    <w:rsid w:val="00FD5418"/>
    <w:rsid w:val="00FE54D5"/>
    <w:rsid w:val="00FF1776"/>
    <w:rsid w:val="00FF6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63EEB"/>
  <w15:chartTrackingRefBased/>
  <w15:docId w15:val="{064A3291-A96B-4995-9BB3-FD33CFE5B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D04"/>
  </w:style>
  <w:style w:type="paragraph" w:styleId="Heading1">
    <w:name w:val="heading 1"/>
    <w:basedOn w:val="Normal"/>
    <w:next w:val="Normal"/>
    <w:link w:val="Heading1Char"/>
    <w:uiPriority w:val="9"/>
    <w:qFormat/>
    <w:rsid w:val="009B3D04"/>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B3D04"/>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9B3D04"/>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9B3D04"/>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9B3D04"/>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9B3D04"/>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9B3D04"/>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9B3D04"/>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9B3D04"/>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B3D04"/>
    <w:pPr>
      <w:spacing w:after="0" w:line="240" w:lineRule="auto"/>
    </w:pPr>
  </w:style>
  <w:style w:type="character" w:customStyle="1" w:styleId="Heading1Char">
    <w:name w:val="Heading 1 Char"/>
    <w:basedOn w:val="DefaultParagraphFont"/>
    <w:link w:val="Heading1"/>
    <w:uiPriority w:val="9"/>
    <w:rsid w:val="009B3D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9B3D04"/>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9B3D04"/>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9B3D04"/>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9B3D04"/>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9B3D04"/>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9B3D04"/>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9B3D04"/>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9B3D04"/>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9B3D04"/>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9B3D04"/>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9B3D04"/>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9B3D04"/>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9B3D04"/>
    <w:rPr>
      <w:rFonts w:asciiTheme="majorHAnsi" w:eastAsiaTheme="majorEastAsia" w:hAnsiTheme="majorHAnsi" w:cstheme="majorBidi"/>
      <w:sz w:val="24"/>
      <w:szCs w:val="24"/>
    </w:rPr>
  </w:style>
  <w:style w:type="character" w:styleId="Strong">
    <w:name w:val="Strong"/>
    <w:basedOn w:val="DefaultParagraphFont"/>
    <w:uiPriority w:val="22"/>
    <w:qFormat/>
    <w:rsid w:val="009B3D04"/>
    <w:rPr>
      <w:b/>
      <w:bCs/>
    </w:rPr>
  </w:style>
  <w:style w:type="character" w:styleId="Emphasis">
    <w:name w:val="Emphasis"/>
    <w:basedOn w:val="DefaultParagraphFont"/>
    <w:uiPriority w:val="20"/>
    <w:qFormat/>
    <w:rsid w:val="009B3D04"/>
    <w:rPr>
      <w:i/>
      <w:iCs/>
    </w:rPr>
  </w:style>
  <w:style w:type="paragraph" w:styleId="Quote">
    <w:name w:val="Quote"/>
    <w:basedOn w:val="Normal"/>
    <w:next w:val="Normal"/>
    <w:link w:val="QuoteChar"/>
    <w:uiPriority w:val="29"/>
    <w:qFormat/>
    <w:rsid w:val="009B3D04"/>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9B3D04"/>
    <w:rPr>
      <w:i/>
      <w:iCs/>
      <w:color w:val="404040" w:themeColor="text1" w:themeTint="BF"/>
    </w:rPr>
  </w:style>
  <w:style w:type="paragraph" w:styleId="IntenseQuote">
    <w:name w:val="Intense Quote"/>
    <w:basedOn w:val="Normal"/>
    <w:next w:val="Normal"/>
    <w:link w:val="IntenseQuoteChar"/>
    <w:uiPriority w:val="30"/>
    <w:qFormat/>
    <w:rsid w:val="009B3D04"/>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9B3D04"/>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9B3D04"/>
    <w:rPr>
      <w:i/>
      <w:iCs/>
      <w:color w:val="404040" w:themeColor="text1" w:themeTint="BF"/>
    </w:rPr>
  </w:style>
  <w:style w:type="character" w:styleId="IntenseEmphasis">
    <w:name w:val="Intense Emphasis"/>
    <w:basedOn w:val="DefaultParagraphFont"/>
    <w:uiPriority w:val="21"/>
    <w:qFormat/>
    <w:rsid w:val="009B3D04"/>
    <w:rPr>
      <w:b/>
      <w:bCs/>
      <w:i/>
      <w:iCs/>
    </w:rPr>
  </w:style>
  <w:style w:type="character" w:styleId="SubtleReference">
    <w:name w:val="Subtle Reference"/>
    <w:basedOn w:val="DefaultParagraphFont"/>
    <w:uiPriority w:val="31"/>
    <w:qFormat/>
    <w:rsid w:val="009B3D0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9B3D04"/>
    <w:rPr>
      <w:b/>
      <w:bCs/>
      <w:smallCaps/>
      <w:spacing w:val="5"/>
      <w:u w:val="single"/>
    </w:rPr>
  </w:style>
  <w:style w:type="character" w:styleId="BookTitle">
    <w:name w:val="Book Title"/>
    <w:basedOn w:val="DefaultParagraphFont"/>
    <w:uiPriority w:val="33"/>
    <w:qFormat/>
    <w:rsid w:val="009B3D04"/>
    <w:rPr>
      <w:b/>
      <w:bCs/>
      <w:smallCaps/>
    </w:rPr>
  </w:style>
  <w:style w:type="paragraph" w:styleId="TOCHeading">
    <w:name w:val="TOC Heading"/>
    <w:basedOn w:val="Heading1"/>
    <w:next w:val="Normal"/>
    <w:uiPriority w:val="39"/>
    <w:semiHidden/>
    <w:unhideWhenUsed/>
    <w:qFormat/>
    <w:rsid w:val="009B3D04"/>
    <w:pPr>
      <w:outlineLvl w:val="9"/>
    </w:pPr>
  </w:style>
  <w:style w:type="paragraph" w:styleId="Header">
    <w:name w:val="header"/>
    <w:basedOn w:val="Normal"/>
    <w:link w:val="HeaderChar"/>
    <w:uiPriority w:val="99"/>
    <w:unhideWhenUsed/>
    <w:rsid w:val="00D348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89B"/>
  </w:style>
  <w:style w:type="paragraph" w:styleId="Footer">
    <w:name w:val="footer"/>
    <w:basedOn w:val="Normal"/>
    <w:link w:val="FooterChar"/>
    <w:uiPriority w:val="99"/>
    <w:unhideWhenUsed/>
    <w:rsid w:val="00D348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89B"/>
  </w:style>
  <w:style w:type="character" w:styleId="Hyperlink">
    <w:name w:val="Hyperlink"/>
    <w:basedOn w:val="DefaultParagraphFont"/>
    <w:uiPriority w:val="99"/>
    <w:unhideWhenUsed/>
    <w:rsid w:val="000C796A"/>
    <w:rPr>
      <w:color w:val="0563C1" w:themeColor="hyperlink"/>
      <w:u w:val="single"/>
    </w:rPr>
  </w:style>
  <w:style w:type="character" w:styleId="UnresolvedMention">
    <w:name w:val="Unresolved Mention"/>
    <w:basedOn w:val="DefaultParagraphFont"/>
    <w:uiPriority w:val="99"/>
    <w:semiHidden/>
    <w:unhideWhenUsed/>
    <w:rsid w:val="000C796A"/>
    <w:rPr>
      <w:color w:val="605E5C"/>
      <w:shd w:val="clear" w:color="auto" w:fill="E1DFDD"/>
    </w:rPr>
  </w:style>
  <w:style w:type="paragraph" w:styleId="BalloonText">
    <w:name w:val="Balloon Text"/>
    <w:basedOn w:val="Normal"/>
    <w:link w:val="BalloonTextChar"/>
    <w:uiPriority w:val="99"/>
    <w:semiHidden/>
    <w:unhideWhenUsed/>
    <w:rsid w:val="00795A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A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552691">
      <w:bodyDiv w:val="1"/>
      <w:marLeft w:val="0"/>
      <w:marRight w:val="0"/>
      <w:marTop w:val="0"/>
      <w:marBottom w:val="0"/>
      <w:divBdr>
        <w:top w:val="none" w:sz="0" w:space="0" w:color="auto"/>
        <w:left w:val="none" w:sz="0" w:space="0" w:color="auto"/>
        <w:bottom w:val="none" w:sz="0" w:space="0" w:color="auto"/>
        <w:right w:val="none" w:sz="0" w:space="0" w:color="auto"/>
      </w:divBdr>
      <w:divsChild>
        <w:div w:id="2085953632">
          <w:marLeft w:val="0"/>
          <w:marRight w:val="0"/>
          <w:marTop w:val="120"/>
          <w:marBottom w:val="0"/>
          <w:divBdr>
            <w:top w:val="none" w:sz="0" w:space="0" w:color="auto"/>
            <w:left w:val="none" w:sz="0" w:space="0" w:color="auto"/>
            <w:bottom w:val="none" w:sz="0" w:space="0" w:color="auto"/>
            <w:right w:val="none" w:sz="0" w:space="0" w:color="auto"/>
          </w:divBdr>
        </w:div>
        <w:div w:id="426659359">
          <w:marLeft w:val="0"/>
          <w:marRight w:val="0"/>
          <w:marTop w:val="120"/>
          <w:marBottom w:val="0"/>
          <w:divBdr>
            <w:top w:val="none" w:sz="0" w:space="0" w:color="auto"/>
            <w:left w:val="none" w:sz="0" w:space="0" w:color="auto"/>
            <w:bottom w:val="none" w:sz="0" w:space="0" w:color="auto"/>
            <w:right w:val="none" w:sz="0" w:space="0" w:color="auto"/>
          </w:divBdr>
        </w:div>
      </w:divsChild>
    </w:div>
    <w:div w:id="272173374">
      <w:bodyDiv w:val="1"/>
      <w:marLeft w:val="0"/>
      <w:marRight w:val="0"/>
      <w:marTop w:val="0"/>
      <w:marBottom w:val="0"/>
      <w:divBdr>
        <w:top w:val="none" w:sz="0" w:space="0" w:color="auto"/>
        <w:left w:val="none" w:sz="0" w:space="0" w:color="auto"/>
        <w:bottom w:val="none" w:sz="0" w:space="0" w:color="auto"/>
        <w:right w:val="none" w:sz="0" w:space="0" w:color="auto"/>
      </w:divBdr>
      <w:divsChild>
        <w:div w:id="490869182">
          <w:marLeft w:val="0"/>
          <w:marRight w:val="0"/>
          <w:marTop w:val="120"/>
          <w:marBottom w:val="0"/>
          <w:divBdr>
            <w:top w:val="none" w:sz="0" w:space="0" w:color="auto"/>
            <w:left w:val="none" w:sz="0" w:space="0" w:color="auto"/>
            <w:bottom w:val="none" w:sz="0" w:space="0" w:color="auto"/>
            <w:right w:val="none" w:sz="0" w:space="0" w:color="auto"/>
          </w:divBdr>
        </w:div>
        <w:div w:id="586229616">
          <w:marLeft w:val="1134"/>
          <w:marRight w:val="0"/>
          <w:marTop w:val="120"/>
          <w:marBottom w:val="0"/>
          <w:divBdr>
            <w:top w:val="none" w:sz="0" w:space="0" w:color="auto"/>
            <w:left w:val="none" w:sz="0" w:space="0" w:color="auto"/>
            <w:bottom w:val="none" w:sz="0" w:space="0" w:color="auto"/>
            <w:right w:val="none" w:sz="0" w:space="0" w:color="auto"/>
          </w:divBdr>
        </w:div>
        <w:div w:id="410274788">
          <w:marLeft w:val="1134"/>
          <w:marRight w:val="0"/>
          <w:marTop w:val="120"/>
          <w:marBottom w:val="0"/>
          <w:divBdr>
            <w:top w:val="none" w:sz="0" w:space="0" w:color="auto"/>
            <w:left w:val="none" w:sz="0" w:space="0" w:color="auto"/>
            <w:bottom w:val="none" w:sz="0" w:space="0" w:color="auto"/>
            <w:right w:val="none" w:sz="0" w:space="0" w:color="auto"/>
          </w:divBdr>
        </w:div>
        <w:div w:id="108398481">
          <w:marLeft w:val="1134"/>
          <w:marRight w:val="0"/>
          <w:marTop w:val="120"/>
          <w:marBottom w:val="0"/>
          <w:divBdr>
            <w:top w:val="none" w:sz="0" w:space="0" w:color="auto"/>
            <w:left w:val="none" w:sz="0" w:space="0" w:color="auto"/>
            <w:bottom w:val="none" w:sz="0" w:space="0" w:color="auto"/>
            <w:right w:val="none" w:sz="0" w:space="0" w:color="auto"/>
          </w:divBdr>
        </w:div>
        <w:div w:id="1385104489">
          <w:marLeft w:val="1134"/>
          <w:marRight w:val="0"/>
          <w:marTop w:val="120"/>
          <w:marBottom w:val="0"/>
          <w:divBdr>
            <w:top w:val="none" w:sz="0" w:space="0" w:color="auto"/>
            <w:left w:val="none" w:sz="0" w:space="0" w:color="auto"/>
            <w:bottom w:val="none" w:sz="0" w:space="0" w:color="auto"/>
            <w:right w:val="none" w:sz="0" w:space="0" w:color="auto"/>
          </w:divBdr>
        </w:div>
        <w:div w:id="666178712">
          <w:marLeft w:val="1134"/>
          <w:marRight w:val="0"/>
          <w:marTop w:val="120"/>
          <w:marBottom w:val="0"/>
          <w:divBdr>
            <w:top w:val="none" w:sz="0" w:space="0" w:color="auto"/>
            <w:left w:val="none" w:sz="0" w:space="0" w:color="auto"/>
            <w:bottom w:val="none" w:sz="0" w:space="0" w:color="auto"/>
            <w:right w:val="none" w:sz="0" w:space="0" w:color="auto"/>
          </w:divBdr>
        </w:div>
      </w:divsChild>
    </w:div>
    <w:div w:id="502596487">
      <w:bodyDiv w:val="1"/>
      <w:marLeft w:val="0"/>
      <w:marRight w:val="0"/>
      <w:marTop w:val="0"/>
      <w:marBottom w:val="0"/>
      <w:divBdr>
        <w:top w:val="none" w:sz="0" w:space="0" w:color="auto"/>
        <w:left w:val="none" w:sz="0" w:space="0" w:color="auto"/>
        <w:bottom w:val="none" w:sz="0" w:space="0" w:color="auto"/>
        <w:right w:val="none" w:sz="0" w:space="0" w:color="auto"/>
      </w:divBdr>
      <w:divsChild>
        <w:div w:id="511914855">
          <w:marLeft w:val="0"/>
          <w:marRight w:val="0"/>
          <w:marTop w:val="160"/>
          <w:marBottom w:val="16"/>
          <w:divBdr>
            <w:top w:val="single" w:sz="8" w:space="2" w:color="808080"/>
            <w:left w:val="none" w:sz="0" w:space="0" w:color="auto"/>
            <w:bottom w:val="none" w:sz="0" w:space="0" w:color="auto"/>
            <w:right w:val="none" w:sz="0" w:space="0" w:color="auto"/>
          </w:divBdr>
        </w:div>
      </w:divsChild>
    </w:div>
    <w:div w:id="1375960065">
      <w:bodyDiv w:val="1"/>
      <w:marLeft w:val="0"/>
      <w:marRight w:val="0"/>
      <w:marTop w:val="0"/>
      <w:marBottom w:val="0"/>
      <w:divBdr>
        <w:top w:val="none" w:sz="0" w:space="0" w:color="auto"/>
        <w:left w:val="none" w:sz="0" w:space="0" w:color="auto"/>
        <w:bottom w:val="none" w:sz="0" w:space="0" w:color="auto"/>
        <w:right w:val="none" w:sz="0" w:space="0" w:color="auto"/>
      </w:divBdr>
      <w:divsChild>
        <w:div w:id="2039965751">
          <w:marLeft w:val="0"/>
          <w:marRight w:val="0"/>
          <w:marTop w:val="120"/>
          <w:marBottom w:val="0"/>
          <w:divBdr>
            <w:top w:val="none" w:sz="0" w:space="0" w:color="auto"/>
            <w:left w:val="none" w:sz="0" w:space="0" w:color="auto"/>
            <w:bottom w:val="none" w:sz="0" w:space="0" w:color="auto"/>
            <w:right w:val="none" w:sz="0" w:space="0" w:color="auto"/>
          </w:divBdr>
        </w:div>
        <w:div w:id="777287373">
          <w:marLeft w:val="0"/>
          <w:marRight w:val="0"/>
          <w:marTop w:val="160"/>
          <w:marBottom w:val="16"/>
          <w:divBdr>
            <w:top w:val="single" w:sz="8" w:space="2" w:color="808080"/>
            <w:left w:val="none" w:sz="0" w:space="0" w:color="auto"/>
            <w:bottom w:val="none" w:sz="0" w:space="0" w:color="auto"/>
            <w:right w:val="none" w:sz="0" w:space="0" w:color="auto"/>
          </w:divBdr>
        </w:div>
        <w:div w:id="1403143470">
          <w:marLeft w:val="0"/>
          <w:marRight w:val="0"/>
          <w:marTop w:val="120"/>
          <w:marBottom w:val="0"/>
          <w:divBdr>
            <w:top w:val="none" w:sz="0" w:space="0" w:color="auto"/>
            <w:left w:val="none" w:sz="0" w:space="0" w:color="auto"/>
            <w:bottom w:val="none" w:sz="0" w:space="0" w:color="auto"/>
            <w:right w:val="none" w:sz="0" w:space="0" w:color="auto"/>
          </w:divBdr>
        </w:div>
        <w:div w:id="609506525">
          <w:marLeft w:val="0"/>
          <w:marRight w:val="0"/>
          <w:marTop w:val="120"/>
          <w:marBottom w:val="0"/>
          <w:divBdr>
            <w:top w:val="none" w:sz="0" w:space="0" w:color="auto"/>
            <w:left w:val="none" w:sz="0" w:space="0" w:color="auto"/>
            <w:bottom w:val="none" w:sz="0" w:space="0" w:color="auto"/>
            <w:right w:val="none" w:sz="0" w:space="0" w:color="auto"/>
          </w:divBdr>
        </w:div>
      </w:divsChild>
    </w:div>
    <w:div w:id="1486360473">
      <w:bodyDiv w:val="1"/>
      <w:marLeft w:val="0"/>
      <w:marRight w:val="0"/>
      <w:marTop w:val="0"/>
      <w:marBottom w:val="0"/>
      <w:divBdr>
        <w:top w:val="none" w:sz="0" w:space="0" w:color="auto"/>
        <w:left w:val="none" w:sz="0" w:space="0" w:color="auto"/>
        <w:bottom w:val="none" w:sz="0" w:space="0" w:color="auto"/>
        <w:right w:val="none" w:sz="0" w:space="0" w:color="auto"/>
      </w:divBdr>
    </w:div>
    <w:div w:id="1546722001">
      <w:bodyDiv w:val="1"/>
      <w:marLeft w:val="0"/>
      <w:marRight w:val="0"/>
      <w:marTop w:val="0"/>
      <w:marBottom w:val="0"/>
      <w:divBdr>
        <w:top w:val="none" w:sz="0" w:space="0" w:color="auto"/>
        <w:left w:val="none" w:sz="0" w:space="0" w:color="auto"/>
        <w:bottom w:val="none" w:sz="0" w:space="0" w:color="auto"/>
        <w:right w:val="none" w:sz="0" w:space="0" w:color="auto"/>
      </w:divBdr>
      <w:divsChild>
        <w:div w:id="181018587">
          <w:marLeft w:val="0"/>
          <w:marRight w:val="0"/>
          <w:marTop w:val="120"/>
          <w:marBottom w:val="0"/>
          <w:divBdr>
            <w:top w:val="none" w:sz="0" w:space="0" w:color="auto"/>
            <w:left w:val="none" w:sz="0" w:space="0" w:color="auto"/>
            <w:bottom w:val="none" w:sz="0" w:space="0" w:color="auto"/>
            <w:right w:val="none" w:sz="0" w:space="0" w:color="auto"/>
          </w:divBdr>
        </w:div>
        <w:div w:id="456922670">
          <w:marLeft w:val="0"/>
          <w:marRight w:val="0"/>
          <w:marTop w:val="160"/>
          <w:marBottom w:val="16"/>
          <w:divBdr>
            <w:top w:val="single" w:sz="8" w:space="2" w:color="808080"/>
            <w:left w:val="none" w:sz="0" w:space="0" w:color="auto"/>
            <w:bottom w:val="none" w:sz="0" w:space="0" w:color="auto"/>
            <w:right w:val="none" w:sz="0" w:space="0" w:color="auto"/>
          </w:divBdr>
        </w:div>
        <w:div w:id="1672220036">
          <w:marLeft w:val="0"/>
          <w:marRight w:val="0"/>
          <w:marTop w:val="120"/>
          <w:marBottom w:val="0"/>
          <w:divBdr>
            <w:top w:val="none" w:sz="0" w:space="0" w:color="auto"/>
            <w:left w:val="none" w:sz="0" w:space="0" w:color="auto"/>
            <w:bottom w:val="none" w:sz="0" w:space="0" w:color="auto"/>
            <w:right w:val="none" w:sz="0" w:space="0" w:color="auto"/>
          </w:divBdr>
        </w:div>
        <w:div w:id="406728727">
          <w:marLeft w:val="0"/>
          <w:marRight w:val="0"/>
          <w:marTop w:val="120"/>
          <w:marBottom w:val="0"/>
          <w:divBdr>
            <w:top w:val="none" w:sz="0" w:space="0" w:color="auto"/>
            <w:left w:val="none" w:sz="0" w:space="0" w:color="auto"/>
            <w:bottom w:val="none" w:sz="0" w:space="0" w:color="auto"/>
            <w:right w:val="none" w:sz="0" w:space="0" w:color="auto"/>
          </w:divBdr>
        </w:div>
        <w:div w:id="1726372709">
          <w:marLeft w:val="0"/>
          <w:marRight w:val="0"/>
          <w:marTop w:val="120"/>
          <w:marBottom w:val="0"/>
          <w:divBdr>
            <w:top w:val="none" w:sz="0" w:space="0" w:color="auto"/>
            <w:left w:val="none" w:sz="0" w:space="0" w:color="auto"/>
            <w:bottom w:val="none" w:sz="0" w:space="0" w:color="auto"/>
            <w:right w:val="none" w:sz="0" w:space="0" w:color="auto"/>
          </w:divBdr>
        </w:div>
      </w:divsChild>
    </w:div>
    <w:div w:id="1652517452">
      <w:bodyDiv w:val="1"/>
      <w:marLeft w:val="0"/>
      <w:marRight w:val="0"/>
      <w:marTop w:val="0"/>
      <w:marBottom w:val="0"/>
      <w:divBdr>
        <w:top w:val="none" w:sz="0" w:space="0" w:color="auto"/>
        <w:left w:val="none" w:sz="0" w:space="0" w:color="auto"/>
        <w:bottom w:val="none" w:sz="0" w:space="0" w:color="auto"/>
        <w:right w:val="none" w:sz="0" w:space="0" w:color="auto"/>
      </w:divBdr>
      <w:divsChild>
        <w:div w:id="1636176787">
          <w:marLeft w:val="0"/>
          <w:marRight w:val="0"/>
          <w:marTop w:val="120"/>
          <w:marBottom w:val="0"/>
          <w:divBdr>
            <w:top w:val="none" w:sz="0" w:space="0" w:color="auto"/>
            <w:left w:val="none" w:sz="0" w:space="0" w:color="auto"/>
            <w:bottom w:val="none" w:sz="0" w:space="0" w:color="auto"/>
            <w:right w:val="none" w:sz="0" w:space="0" w:color="auto"/>
          </w:divBdr>
        </w:div>
        <w:div w:id="1925450016">
          <w:marLeft w:val="0"/>
          <w:marRight w:val="0"/>
          <w:marTop w:val="160"/>
          <w:marBottom w:val="16"/>
          <w:divBdr>
            <w:top w:val="single" w:sz="8" w:space="2" w:color="808080"/>
            <w:left w:val="none" w:sz="0" w:space="0" w:color="auto"/>
            <w:bottom w:val="none" w:sz="0" w:space="0" w:color="auto"/>
            <w:right w:val="none" w:sz="0" w:space="0" w:color="auto"/>
          </w:divBdr>
        </w:div>
        <w:div w:id="272517827">
          <w:marLeft w:val="0"/>
          <w:marRight w:val="0"/>
          <w:marTop w:val="120"/>
          <w:marBottom w:val="0"/>
          <w:divBdr>
            <w:top w:val="none" w:sz="0" w:space="0" w:color="auto"/>
            <w:left w:val="none" w:sz="0" w:space="0" w:color="auto"/>
            <w:bottom w:val="none" w:sz="0" w:space="0" w:color="auto"/>
            <w:right w:val="none" w:sz="0" w:space="0" w:color="auto"/>
          </w:divBdr>
        </w:div>
        <w:div w:id="791292146">
          <w:marLeft w:val="0"/>
          <w:marRight w:val="0"/>
          <w:marTop w:val="120"/>
          <w:marBottom w:val="0"/>
          <w:divBdr>
            <w:top w:val="none" w:sz="0" w:space="0" w:color="auto"/>
            <w:left w:val="none" w:sz="0" w:space="0" w:color="auto"/>
            <w:bottom w:val="none" w:sz="0" w:space="0" w:color="auto"/>
            <w:right w:val="none" w:sz="0" w:space="0" w:color="auto"/>
          </w:divBdr>
        </w:div>
      </w:divsChild>
    </w:div>
    <w:div w:id="1815444535">
      <w:bodyDiv w:val="1"/>
      <w:marLeft w:val="0"/>
      <w:marRight w:val="0"/>
      <w:marTop w:val="0"/>
      <w:marBottom w:val="0"/>
      <w:divBdr>
        <w:top w:val="none" w:sz="0" w:space="0" w:color="auto"/>
        <w:left w:val="none" w:sz="0" w:space="0" w:color="auto"/>
        <w:bottom w:val="none" w:sz="0" w:space="0" w:color="auto"/>
        <w:right w:val="none" w:sz="0" w:space="0" w:color="auto"/>
      </w:divBdr>
      <w:divsChild>
        <w:div w:id="276375362">
          <w:marLeft w:val="0"/>
          <w:marRight w:val="0"/>
          <w:marTop w:val="120"/>
          <w:marBottom w:val="0"/>
          <w:divBdr>
            <w:top w:val="none" w:sz="0" w:space="0" w:color="auto"/>
            <w:left w:val="none" w:sz="0" w:space="0" w:color="auto"/>
            <w:bottom w:val="none" w:sz="0" w:space="0" w:color="auto"/>
            <w:right w:val="none" w:sz="0" w:space="0" w:color="auto"/>
          </w:divBdr>
        </w:div>
        <w:div w:id="725104181">
          <w:marLeft w:val="0"/>
          <w:marRight w:val="0"/>
          <w:marTop w:val="120"/>
          <w:marBottom w:val="0"/>
          <w:divBdr>
            <w:top w:val="none" w:sz="0" w:space="0" w:color="auto"/>
            <w:left w:val="none" w:sz="0" w:space="0" w:color="auto"/>
            <w:bottom w:val="none" w:sz="0" w:space="0" w:color="auto"/>
            <w:right w:val="none" w:sz="0" w:space="0" w:color="auto"/>
          </w:divBdr>
        </w:div>
        <w:div w:id="380247919">
          <w:marLeft w:val="0"/>
          <w:marRight w:val="0"/>
          <w:marTop w:val="120"/>
          <w:marBottom w:val="0"/>
          <w:divBdr>
            <w:top w:val="none" w:sz="0" w:space="0" w:color="auto"/>
            <w:left w:val="none" w:sz="0" w:space="0" w:color="auto"/>
            <w:bottom w:val="none" w:sz="0" w:space="0" w:color="auto"/>
            <w:right w:val="none" w:sz="0" w:space="0" w:color="auto"/>
          </w:divBdr>
        </w:div>
      </w:divsChild>
    </w:div>
    <w:div w:id="2049179985">
      <w:bodyDiv w:val="1"/>
      <w:marLeft w:val="0"/>
      <w:marRight w:val="0"/>
      <w:marTop w:val="0"/>
      <w:marBottom w:val="0"/>
      <w:divBdr>
        <w:top w:val="none" w:sz="0" w:space="0" w:color="auto"/>
        <w:left w:val="none" w:sz="0" w:space="0" w:color="auto"/>
        <w:bottom w:val="none" w:sz="0" w:space="0" w:color="auto"/>
        <w:right w:val="none" w:sz="0" w:space="0" w:color="auto"/>
      </w:divBdr>
      <w:divsChild>
        <w:div w:id="1857040274">
          <w:marLeft w:val="0"/>
          <w:marRight w:val="0"/>
          <w:marTop w:val="120"/>
          <w:marBottom w:val="0"/>
          <w:divBdr>
            <w:top w:val="none" w:sz="0" w:space="0" w:color="auto"/>
            <w:left w:val="none" w:sz="0" w:space="0" w:color="auto"/>
            <w:bottom w:val="none" w:sz="0" w:space="0" w:color="auto"/>
            <w:right w:val="none" w:sz="0" w:space="0" w:color="auto"/>
          </w:divBdr>
        </w:div>
        <w:div w:id="2044213075">
          <w:marLeft w:val="0"/>
          <w:marRight w:val="0"/>
          <w:marTop w:val="120"/>
          <w:marBottom w:val="0"/>
          <w:divBdr>
            <w:top w:val="none" w:sz="0" w:space="0" w:color="auto"/>
            <w:left w:val="none" w:sz="0" w:space="0" w:color="auto"/>
            <w:bottom w:val="none" w:sz="0" w:space="0" w:color="auto"/>
            <w:right w:val="none" w:sz="0" w:space="0" w:color="auto"/>
          </w:divBdr>
        </w:div>
        <w:div w:id="120727498">
          <w:marLeft w:val="0"/>
          <w:marRight w:val="0"/>
          <w:marTop w:val="120"/>
          <w:marBottom w:val="0"/>
          <w:divBdr>
            <w:top w:val="none" w:sz="0" w:space="0" w:color="auto"/>
            <w:left w:val="none" w:sz="0" w:space="0" w:color="auto"/>
            <w:bottom w:val="none" w:sz="0" w:space="0" w:color="auto"/>
            <w:right w:val="none" w:sz="0" w:space="0" w:color="auto"/>
          </w:divBdr>
        </w:div>
      </w:divsChild>
    </w:div>
    <w:div w:id="2104373234">
      <w:bodyDiv w:val="1"/>
      <w:marLeft w:val="0"/>
      <w:marRight w:val="0"/>
      <w:marTop w:val="0"/>
      <w:marBottom w:val="0"/>
      <w:divBdr>
        <w:top w:val="none" w:sz="0" w:space="0" w:color="auto"/>
        <w:left w:val="none" w:sz="0" w:space="0" w:color="auto"/>
        <w:bottom w:val="none" w:sz="0" w:space="0" w:color="auto"/>
        <w:right w:val="none" w:sz="0" w:space="0" w:color="auto"/>
      </w:divBdr>
      <w:divsChild>
        <w:div w:id="1808665998">
          <w:marLeft w:val="0"/>
          <w:marRight w:val="0"/>
          <w:marTop w:val="120"/>
          <w:marBottom w:val="0"/>
          <w:divBdr>
            <w:top w:val="none" w:sz="0" w:space="0" w:color="auto"/>
            <w:left w:val="none" w:sz="0" w:space="0" w:color="auto"/>
            <w:bottom w:val="none" w:sz="0" w:space="0" w:color="auto"/>
            <w:right w:val="none" w:sz="0" w:space="0" w:color="auto"/>
          </w:divBdr>
        </w:div>
        <w:div w:id="124811856">
          <w:marLeft w:val="1134"/>
          <w:marRight w:val="0"/>
          <w:marTop w:val="120"/>
          <w:marBottom w:val="0"/>
          <w:divBdr>
            <w:top w:val="none" w:sz="0" w:space="0" w:color="auto"/>
            <w:left w:val="none" w:sz="0" w:space="0" w:color="auto"/>
            <w:bottom w:val="none" w:sz="0" w:space="0" w:color="auto"/>
            <w:right w:val="none" w:sz="0" w:space="0" w:color="auto"/>
          </w:divBdr>
        </w:div>
        <w:div w:id="92209877">
          <w:marLeft w:val="1134"/>
          <w:marRight w:val="0"/>
          <w:marTop w:val="120"/>
          <w:marBottom w:val="0"/>
          <w:divBdr>
            <w:top w:val="none" w:sz="0" w:space="0" w:color="auto"/>
            <w:left w:val="none" w:sz="0" w:space="0" w:color="auto"/>
            <w:bottom w:val="none" w:sz="0" w:space="0" w:color="auto"/>
            <w:right w:val="none" w:sz="0" w:space="0" w:color="auto"/>
          </w:divBdr>
        </w:div>
        <w:div w:id="1066219533">
          <w:marLeft w:val="0"/>
          <w:marRight w:val="0"/>
          <w:marTop w:val="160"/>
          <w:marBottom w:val="16"/>
          <w:divBdr>
            <w:top w:val="single" w:sz="8" w:space="2" w:color="808080"/>
            <w:left w:val="none" w:sz="0" w:space="0" w:color="auto"/>
            <w:bottom w:val="none" w:sz="0" w:space="0" w:color="auto"/>
            <w:right w:val="none" w:sz="0" w:space="0" w:color="auto"/>
          </w:divBdr>
        </w:div>
        <w:div w:id="1850296274">
          <w:marLeft w:val="0"/>
          <w:marRight w:val="0"/>
          <w:marTop w:val="120"/>
          <w:marBottom w:val="0"/>
          <w:divBdr>
            <w:top w:val="none" w:sz="0" w:space="0" w:color="auto"/>
            <w:left w:val="none" w:sz="0" w:space="0" w:color="auto"/>
            <w:bottom w:val="none" w:sz="0" w:space="0" w:color="auto"/>
            <w:right w:val="none" w:sz="0" w:space="0" w:color="auto"/>
          </w:divBdr>
        </w:div>
        <w:div w:id="1749035507">
          <w:marLeft w:val="1134"/>
          <w:marRight w:val="0"/>
          <w:marTop w:val="120"/>
          <w:marBottom w:val="0"/>
          <w:divBdr>
            <w:top w:val="none" w:sz="0" w:space="0" w:color="auto"/>
            <w:left w:val="none" w:sz="0" w:space="0" w:color="auto"/>
            <w:bottom w:val="none" w:sz="0" w:space="0" w:color="auto"/>
            <w:right w:val="none" w:sz="0" w:space="0" w:color="auto"/>
          </w:divBdr>
        </w:div>
        <w:div w:id="1860394026">
          <w:marLeft w:val="1134"/>
          <w:marRight w:val="0"/>
          <w:marTop w:val="120"/>
          <w:marBottom w:val="0"/>
          <w:divBdr>
            <w:top w:val="none" w:sz="0" w:space="0" w:color="auto"/>
            <w:left w:val="none" w:sz="0" w:space="0" w:color="auto"/>
            <w:bottom w:val="none" w:sz="0" w:space="0" w:color="auto"/>
            <w:right w:val="none" w:sz="0" w:space="0" w:color="auto"/>
          </w:divBdr>
        </w:div>
        <w:div w:id="1669018894">
          <w:marLeft w:val="1134"/>
          <w:marRight w:val="0"/>
          <w:marTop w:val="120"/>
          <w:marBottom w:val="0"/>
          <w:divBdr>
            <w:top w:val="none" w:sz="0" w:space="0" w:color="auto"/>
            <w:left w:val="none" w:sz="0" w:space="0" w:color="auto"/>
            <w:bottom w:val="none" w:sz="0" w:space="0" w:color="auto"/>
            <w:right w:val="none" w:sz="0" w:space="0" w:color="auto"/>
          </w:divBdr>
        </w:div>
        <w:div w:id="1825856155">
          <w:marLeft w:val="1134"/>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02264'%5d&amp;xhitlist_md=target-id=0-0-0-2515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9BD13844B94BDA99CFC06E851E7BD8"/>
        <w:category>
          <w:name w:val="General"/>
          <w:gallery w:val="placeholder"/>
        </w:category>
        <w:types>
          <w:type w:val="bbPlcHdr"/>
        </w:types>
        <w:behaviors>
          <w:behavior w:val="content"/>
        </w:behaviors>
        <w:guid w:val="{18DBFAAC-D7C1-4C4F-8FC4-AAD9B1B07610}"/>
      </w:docPartPr>
      <w:docPartBody>
        <w:p w:rsidR="00B65F4B" w:rsidRDefault="00EE31CD" w:rsidP="00EE31CD">
          <w:pPr>
            <w:pStyle w:val="F39BD13844B94BDA99CFC06E851E7BD8"/>
          </w:pPr>
          <w:r>
            <w:rPr>
              <w:color w:val="4472C4" w:themeColor="accent1"/>
            </w:rPr>
            <w:t>[Document title]</w:t>
          </w:r>
        </w:p>
      </w:docPartBody>
    </w:docPart>
    <w:docPart>
      <w:docPartPr>
        <w:name w:val="7B958171767845669F3AB0BBCFC67E5A"/>
        <w:category>
          <w:name w:val="General"/>
          <w:gallery w:val="placeholder"/>
        </w:category>
        <w:types>
          <w:type w:val="bbPlcHdr"/>
        </w:types>
        <w:behaviors>
          <w:behavior w:val="content"/>
        </w:behaviors>
        <w:guid w:val="{447457A3-459E-4A61-8383-A07EE51B0843}"/>
      </w:docPartPr>
      <w:docPartBody>
        <w:p w:rsidR="00B65F4B" w:rsidRDefault="00EE31CD" w:rsidP="00EE31CD">
          <w:pPr>
            <w:pStyle w:val="7B958171767845669F3AB0BBCFC67E5A"/>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1CD"/>
    <w:rsid w:val="00201E1B"/>
    <w:rsid w:val="003F51A6"/>
    <w:rsid w:val="0045334A"/>
    <w:rsid w:val="00B40E30"/>
    <w:rsid w:val="00B65F4B"/>
    <w:rsid w:val="00EC1600"/>
    <w:rsid w:val="00EE3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39BD13844B94BDA99CFC06E851E7BD8">
    <w:name w:val="F39BD13844B94BDA99CFC06E851E7BD8"/>
    <w:rsid w:val="00EE31CD"/>
  </w:style>
  <w:style w:type="paragraph" w:customStyle="1" w:styleId="7B958171767845669F3AB0BBCFC67E5A">
    <w:name w:val="7B958171767845669F3AB0BBCFC67E5A"/>
    <w:rsid w:val="00EE31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CC480B-3BF1-44CD-ADDA-48C053D9B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1</Pages>
  <Words>2289</Words>
  <Characters>13051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Fees, Contingency Fees and Champerty</vt:lpstr>
    </vt:vector>
  </TitlesOfParts>
  <Company/>
  <LinksUpToDate>false</LinksUpToDate>
  <CharactersWithSpaces>15310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Fees, Contingency Fees and Champerty</dc:title>
  <dc:subject/>
  <dc:creator>Ethics</dc:creator>
  <cp:keywords/>
  <dc:description/>
  <cp:lastModifiedBy>Chantal Dittberner</cp:lastModifiedBy>
  <cp:revision>249</cp:revision>
  <cp:lastPrinted>2019-01-11T08:20:00Z</cp:lastPrinted>
  <dcterms:created xsi:type="dcterms:W3CDTF">2018-12-12T17:14:00Z</dcterms:created>
  <dcterms:modified xsi:type="dcterms:W3CDTF">2019-01-11T08:20:00Z</dcterms:modified>
</cp:coreProperties>
</file>