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84D35" w14:textId="77777777" w:rsidR="002D1EBF" w:rsidRPr="00AC207B" w:rsidRDefault="002D1EBF" w:rsidP="002D1EBF">
      <w:pPr>
        <w:spacing w:line="276" w:lineRule="auto"/>
        <w:rPr>
          <w:rFonts w:ascii="Arial" w:hAnsi="Arial" w:cs="Arial"/>
          <w:sz w:val="28"/>
          <w:szCs w:val="28"/>
          <w:u w:val="single"/>
        </w:rPr>
      </w:pPr>
      <w:r w:rsidRPr="00AC207B">
        <w:rPr>
          <w:rFonts w:ascii="Arial" w:hAnsi="Arial" w:cs="Arial"/>
          <w:b/>
          <w:sz w:val="28"/>
          <w:szCs w:val="28"/>
          <w:u w:val="single"/>
          <w:lang w:val="en-US"/>
        </w:rPr>
        <w:t>R v Matonsi</w:t>
      </w:r>
      <w:r w:rsidRPr="00AC207B">
        <w:rPr>
          <w:rFonts w:ascii="Arial" w:hAnsi="Arial" w:cs="Arial"/>
          <w:sz w:val="28"/>
          <w:szCs w:val="28"/>
          <w:u w:val="single"/>
          <w:lang w:val="en-US"/>
        </w:rPr>
        <w:t xml:space="preserve"> 1958(2) SA 450 (AD) at 456A-1-57F</w:t>
      </w:r>
    </w:p>
    <w:p w14:paraId="2326B14A" w14:textId="77777777" w:rsidR="00E17C7D" w:rsidRPr="0093129D" w:rsidRDefault="00E17C7D" w:rsidP="002D1EBF">
      <w:pPr>
        <w:spacing w:line="276" w:lineRule="auto"/>
        <w:rPr>
          <w:rFonts w:ascii="Arial" w:hAnsi="Arial" w:cs="Arial"/>
          <w:sz w:val="16"/>
          <w:szCs w:val="16"/>
          <w:lang w:val="en-US"/>
        </w:rPr>
      </w:pPr>
    </w:p>
    <w:p w14:paraId="1E6C1EDB" w14:textId="2C0681C2" w:rsidR="00E17C7D" w:rsidRPr="00E17C7D" w:rsidRDefault="00E17C7D" w:rsidP="002D1EBF">
      <w:pPr>
        <w:spacing w:line="276" w:lineRule="auto"/>
        <w:rPr>
          <w:rFonts w:ascii="Arial" w:hAnsi="Arial" w:cs="Arial"/>
          <w:b/>
          <w:u w:val="single"/>
          <w:lang w:val="en-US"/>
        </w:rPr>
      </w:pPr>
      <w:r w:rsidRPr="00E17C7D">
        <w:rPr>
          <w:rFonts w:ascii="Arial" w:hAnsi="Arial" w:cs="Arial"/>
          <w:b/>
          <w:u w:val="single"/>
          <w:lang w:val="en-US"/>
        </w:rPr>
        <w:t>FACTS:</w:t>
      </w:r>
    </w:p>
    <w:p w14:paraId="34E8692A" w14:textId="5CD99E7E" w:rsidR="00E17C7D" w:rsidRPr="0093129D" w:rsidRDefault="00E17C7D" w:rsidP="002D1EBF">
      <w:pPr>
        <w:spacing w:line="276" w:lineRule="auto"/>
        <w:rPr>
          <w:rFonts w:ascii="Arial" w:hAnsi="Arial" w:cs="Arial"/>
          <w:sz w:val="16"/>
          <w:szCs w:val="16"/>
          <w:lang w:val="en-US"/>
        </w:rPr>
      </w:pPr>
    </w:p>
    <w:p w14:paraId="51F9BEB1" w14:textId="4F82C891" w:rsidR="000B25E4" w:rsidRDefault="002D1EBF" w:rsidP="002D1EBF">
      <w:pPr>
        <w:spacing w:line="276" w:lineRule="auto"/>
        <w:rPr>
          <w:rFonts w:ascii="Arial" w:hAnsi="Arial" w:cs="Arial"/>
          <w:lang w:val="en-US"/>
        </w:rPr>
      </w:pPr>
      <w:r w:rsidRPr="000D6C7F">
        <w:rPr>
          <w:rFonts w:ascii="Arial" w:hAnsi="Arial" w:cs="Arial"/>
          <w:lang w:val="en-US"/>
        </w:rPr>
        <w:t>The appellant had been convicted before a jury o</w:t>
      </w:r>
      <w:r w:rsidR="00DE2E1A">
        <w:rPr>
          <w:rFonts w:ascii="Arial" w:hAnsi="Arial" w:cs="Arial"/>
          <w:lang w:val="en-US"/>
        </w:rPr>
        <w:t xml:space="preserve">n a charge of </w:t>
      </w:r>
      <w:r w:rsidRPr="000D6C7F">
        <w:rPr>
          <w:rFonts w:ascii="Arial" w:hAnsi="Arial" w:cs="Arial"/>
          <w:lang w:val="en-US"/>
        </w:rPr>
        <w:t xml:space="preserve">murder. On appeal, it was contended that the appellant had been prevented by his counsel from giving evidence in his defence. The Court held that once a client has placed his case in the hands of counsel the latter has complete control and it is he who must decide whether a particular witness, including the client, is to be called or not. Accordingly, an accused in a criminal case cannot question his counsel's conduct of the trial and claim relief because counsel 'prevented' him from giving evidence. </w:t>
      </w:r>
    </w:p>
    <w:p w14:paraId="67552F66" w14:textId="77777777" w:rsidR="0093129D" w:rsidRPr="0093129D" w:rsidRDefault="0093129D" w:rsidP="002D1EBF">
      <w:pPr>
        <w:spacing w:line="276" w:lineRule="auto"/>
        <w:rPr>
          <w:rFonts w:ascii="Arial" w:hAnsi="Arial" w:cs="Arial"/>
          <w:sz w:val="16"/>
          <w:szCs w:val="16"/>
          <w:lang w:val="en-US"/>
        </w:rPr>
      </w:pPr>
    </w:p>
    <w:p w14:paraId="22B82B1A" w14:textId="77777777" w:rsidR="000B25E4" w:rsidRPr="0093129D" w:rsidRDefault="000B25E4" w:rsidP="00615C2F">
      <w:pPr>
        <w:spacing w:after="240" w:line="276" w:lineRule="auto"/>
        <w:rPr>
          <w:rFonts w:ascii="Arial" w:hAnsi="Arial" w:cs="Arial"/>
          <w:b/>
          <w:u w:val="single"/>
          <w:lang w:val="en-US"/>
        </w:rPr>
      </w:pPr>
      <w:r w:rsidRPr="0093129D">
        <w:rPr>
          <w:rFonts w:ascii="Arial" w:hAnsi="Arial" w:cs="Arial"/>
          <w:b/>
          <w:u w:val="single"/>
          <w:lang w:val="en-US"/>
        </w:rPr>
        <w:t>PRINCIPLE:</w:t>
      </w:r>
    </w:p>
    <w:p w14:paraId="28DD85FA" w14:textId="2F7953DF" w:rsidR="002D1EBF" w:rsidRDefault="000B25E4" w:rsidP="002D1EBF">
      <w:pPr>
        <w:spacing w:line="276" w:lineRule="auto"/>
        <w:rPr>
          <w:rFonts w:ascii="Arial" w:hAnsi="Arial" w:cs="Arial"/>
          <w:sz w:val="28"/>
          <w:szCs w:val="28"/>
          <w:u w:val="single"/>
          <w:lang w:val="en-US"/>
        </w:rPr>
      </w:pPr>
      <w:r w:rsidRPr="00B7316C">
        <w:rPr>
          <w:rFonts w:ascii="Arial" w:hAnsi="Arial" w:cs="Arial"/>
          <w:noProof/>
          <w:lang w:val="en-US"/>
        </w:rPr>
        <mc:AlternateContent>
          <mc:Choice Requires="wps">
            <w:drawing>
              <wp:anchor distT="45720" distB="45720" distL="114300" distR="114300" simplePos="0" relativeHeight="251659264" behindDoc="0" locked="0" layoutInCell="1" allowOverlap="1" wp14:anchorId="2C9862CA" wp14:editId="6F0B0599">
                <wp:simplePos x="0" y="0"/>
                <wp:positionH relativeFrom="margin">
                  <wp:align>left</wp:align>
                </wp:positionH>
                <wp:positionV relativeFrom="paragraph">
                  <wp:posOffset>834390</wp:posOffset>
                </wp:positionV>
                <wp:extent cx="5829300" cy="53435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5343525"/>
                        </a:xfrm>
                        <a:prstGeom prst="rect">
                          <a:avLst/>
                        </a:prstGeom>
                        <a:solidFill>
                          <a:srgbClr val="FFFFFF"/>
                        </a:solidFill>
                        <a:ln w="9525">
                          <a:solidFill>
                            <a:srgbClr val="000000"/>
                          </a:solidFill>
                          <a:miter lim="800000"/>
                          <a:headEnd/>
                          <a:tailEnd/>
                        </a:ln>
                      </wps:spPr>
                      <wps:txbx>
                        <w:txbxContent>
                          <w:p w14:paraId="4475434F" w14:textId="77777777" w:rsidR="00B7316C" w:rsidRPr="00503FA2" w:rsidRDefault="00B7316C" w:rsidP="00B7316C">
                            <w:pPr>
                              <w:spacing w:line="276" w:lineRule="auto"/>
                              <w:rPr>
                                <w:b/>
                                <w:i/>
                              </w:rPr>
                            </w:pPr>
                            <w:r w:rsidRPr="00503FA2">
                              <w:rPr>
                                <w:b/>
                                <w:i/>
                              </w:rPr>
                              <w:t>Extract:</w:t>
                            </w:r>
                          </w:p>
                          <w:p w14:paraId="49B806A2" w14:textId="6F5BCE28" w:rsidR="00187B67" w:rsidRPr="00187B67" w:rsidRDefault="00090FB5" w:rsidP="00187B67">
                            <w:pPr>
                              <w:spacing w:line="276" w:lineRule="auto"/>
                              <w:rPr>
                                <w:i/>
                                <w:lang w:val="en-US"/>
                              </w:rPr>
                            </w:pPr>
                            <w:r>
                              <w:rPr>
                                <w:b/>
                                <w:i/>
                              </w:rPr>
                              <w:t>456</w:t>
                            </w:r>
                            <w:r w:rsidR="002231F8">
                              <w:rPr>
                                <w:b/>
                                <w:i/>
                              </w:rPr>
                              <w:t>A-C</w:t>
                            </w:r>
                            <w:r w:rsidR="00B7316C" w:rsidRPr="00503FA2">
                              <w:rPr>
                                <w:b/>
                                <w:i/>
                              </w:rPr>
                              <w:t>:</w:t>
                            </w:r>
                            <w:r w:rsidR="00B7316C" w:rsidRPr="00503FA2">
                              <w:rPr>
                                <w:i/>
                              </w:rPr>
                              <w:t xml:space="preserve"> “</w:t>
                            </w:r>
                            <w:r w:rsidR="00812BE7">
                              <w:rPr>
                                <w:i/>
                              </w:rPr>
                              <w:t>…</w:t>
                            </w:r>
                            <w:r w:rsidR="00902BA8" w:rsidRPr="00902BA8">
                              <w:rPr>
                                <w:i/>
                              </w:rPr>
                              <w:t>WARNER, A.J., quotes, out of certain 'grounds of appeal' that were laid before him, one that alleged that the</w:t>
                            </w:r>
                            <w:r w:rsidR="00615DCA">
                              <w:rPr>
                                <w:i/>
                                <w:lang w:val="en-US"/>
                              </w:rPr>
                              <w:t xml:space="preserve"> </w:t>
                            </w:r>
                            <w:r w:rsidR="00187B67" w:rsidRPr="00187B67">
                              <w:rPr>
                                <w:i/>
                                <w:lang w:val="en-US"/>
                              </w:rPr>
                              <w:t>accused was prejudiced when he was instructed by his counsel, contrary to his wishes, not to give evidence. The report proceeds:</w:t>
                            </w:r>
                          </w:p>
                          <w:p w14:paraId="294EEFC2" w14:textId="10F7DE1D" w:rsidR="000A4325" w:rsidRDefault="00187B67" w:rsidP="00187B67">
                            <w:pPr>
                              <w:spacing w:line="276" w:lineRule="auto"/>
                              <w:rPr>
                                <w:i/>
                                <w:lang w:val="en-US"/>
                              </w:rPr>
                            </w:pPr>
                            <w:r w:rsidRPr="00187B67">
                              <w:rPr>
                                <w:i/>
                                <w:lang w:val="en-US"/>
                              </w:rPr>
                              <w:t xml:space="preserve">   'In argument on this ground. Mr. </w:t>
                            </w:r>
                            <w:r w:rsidRPr="00187B67">
                              <w:rPr>
                                <w:i/>
                                <w:iCs/>
                                <w:lang w:val="en-US"/>
                              </w:rPr>
                              <w:t>Boshoff</w:t>
                            </w:r>
                            <w:r w:rsidRPr="00187B67">
                              <w:rPr>
                                <w:i/>
                                <w:lang w:val="en-US"/>
                              </w:rPr>
                              <w:t xml:space="preserve"> made it clear that not only did he</w:t>
                            </w:r>
                            <w:r w:rsidR="00090FB5">
                              <w:rPr>
                                <w:i/>
                                <w:lang w:val="en-US"/>
                              </w:rPr>
                              <w:t xml:space="preserve"> </w:t>
                            </w:r>
                            <w:r w:rsidRPr="00187B67">
                              <w:rPr>
                                <w:i/>
                                <w:lang w:val="en-US"/>
                              </w:rPr>
                              <w:t xml:space="preserve">advise the accused not to give evidence but he insisted that it was his (Mr. </w:t>
                            </w:r>
                            <w:r w:rsidRPr="00187B67">
                              <w:rPr>
                                <w:i/>
                                <w:iCs/>
                                <w:lang w:val="en-US"/>
                              </w:rPr>
                              <w:t>Boshoff's)</w:t>
                            </w:r>
                            <w:r w:rsidRPr="00187B67">
                              <w:rPr>
                                <w:i/>
                                <w:lang w:val="en-US"/>
                              </w:rPr>
                              <w:t xml:space="preserve"> function to decide that he should not</w:t>
                            </w:r>
                            <w:r w:rsidR="006C30F0" w:rsidRPr="00187B67">
                              <w:rPr>
                                <w:i/>
                                <w:lang w:val="en-US"/>
                              </w:rPr>
                              <w:t>.</w:t>
                            </w:r>
                            <w:r w:rsidR="006C30F0">
                              <w:rPr>
                                <w:i/>
                                <w:lang w:val="en-US"/>
                              </w:rPr>
                              <w:t>” …..</w:t>
                            </w:r>
                            <w:r w:rsidR="005E309F">
                              <w:rPr>
                                <w:i/>
                                <w:lang w:val="en-US"/>
                              </w:rPr>
                              <w:t xml:space="preserve"> “</w:t>
                            </w:r>
                            <w:r w:rsidRPr="00187B67">
                              <w:rPr>
                                <w:i/>
                                <w:lang w:val="en-US"/>
                              </w:rPr>
                              <w:t xml:space="preserve">I see no reason to doubt that his authority over the conduct of the case which he had been instructed to fight on behalf of a client was quite as full as that of the English barrister (cf. </w:t>
                            </w:r>
                            <w:r w:rsidRPr="00187B67">
                              <w:rPr>
                                <w:i/>
                                <w:iCs/>
                                <w:lang w:val="en-US"/>
                              </w:rPr>
                              <w:t>Klopper v van Rensburg</w:t>
                            </w:r>
                            <w:r w:rsidRPr="00187B67">
                              <w:rPr>
                                <w:i/>
                                <w:lang w:val="en-US"/>
                              </w:rPr>
                              <w:t xml:space="preserve">, 1920 E.D.L. 239 at p. 242). The English cases show that in general, </w:t>
                            </w:r>
                            <w:r w:rsidRPr="00187B67">
                              <w:rPr>
                                <w:i/>
                                <w:u w:val="single"/>
                                <w:lang w:val="en-US"/>
                              </w:rPr>
                              <w:t>trials cannot be conducted partly by the client and partly by counsel</w:t>
                            </w:r>
                            <w:r w:rsidRPr="00187B67">
                              <w:rPr>
                                <w:i/>
                                <w:lang w:val="en-US"/>
                              </w:rPr>
                              <w:t xml:space="preserve">. </w:t>
                            </w:r>
                            <w:r w:rsidRPr="00187B67">
                              <w:rPr>
                                <w:i/>
                                <w:u w:val="single"/>
                                <w:lang w:val="en-US"/>
                              </w:rPr>
                              <w:t xml:space="preserve">Once the client has placed his case in the hands of counsel the latter has complete control and it </w:t>
                            </w:r>
                            <w:r w:rsidR="003E4D9D" w:rsidRPr="00187B67">
                              <w:rPr>
                                <w:i/>
                                <w:u w:val="single"/>
                                <w:lang w:val="en-US"/>
                              </w:rPr>
                              <w:t>is,</w:t>
                            </w:r>
                            <w:r w:rsidRPr="00187B67">
                              <w:rPr>
                                <w:i/>
                                <w:u w:val="single"/>
                                <w:lang w:val="en-US"/>
                              </w:rPr>
                              <w:t xml:space="preserve"> he who must decide whether a particular witness, including the client, is to be called or not.</w:t>
                            </w:r>
                            <w:r w:rsidRPr="00187B67">
                              <w:rPr>
                                <w:i/>
                                <w:lang w:val="en-US"/>
                              </w:rPr>
                              <w:t xml:space="preserve"> So in </w:t>
                            </w:r>
                            <w:r w:rsidRPr="00187B67">
                              <w:rPr>
                                <w:i/>
                                <w:iCs/>
                                <w:lang w:val="en-US"/>
                              </w:rPr>
                              <w:t>Swinfen v Lord Chelmsford</w:t>
                            </w:r>
                            <w:r w:rsidRPr="00187B67">
                              <w:rPr>
                                <w:i/>
                                <w:lang w:val="en-US"/>
                              </w:rPr>
                              <w:t>, 157 E.R. 1436 at p. 1449, POLLOCK, C.B., states the Court's view that, </w:t>
                            </w:r>
                            <w:r w:rsidRPr="00187B67">
                              <w:rPr>
                                <w:i/>
                                <w:u w:val="single"/>
                                <w:lang w:val="en-US"/>
                              </w:rPr>
                              <w:t xml:space="preserve">'a counsel has complete authority over the suit, the mode of conducting it, and all that is incident to it - such as withdrawing the record, withdrawing a juror, calling no witnesses, or selecting such as, in his discretion, he thinks ought to be called, and other matters which properly belong to the suit and the management and conduct of the </w:t>
                            </w:r>
                            <w:r w:rsidR="000B54B3" w:rsidRPr="00094372">
                              <w:rPr>
                                <w:i/>
                                <w:u w:val="single"/>
                                <w:lang w:val="en-US"/>
                              </w:rPr>
                              <w:t>trial.”</w:t>
                            </w:r>
                          </w:p>
                          <w:p w14:paraId="4D719782" w14:textId="7AF8EA39" w:rsidR="00A74E1E" w:rsidRPr="00A74E1E" w:rsidRDefault="00237F94" w:rsidP="00A74E1E">
                            <w:pPr>
                              <w:spacing w:line="276" w:lineRule="auto"/>
                              <w:rPr>
                                <w:i/>
                                <w:lang w:val="en-US"/>
                              </w:rPr>
                            </w:pPr>
                            <w:r w:rsidRPr="000B54B3">
                              <w:rPr>
                                <w:b/>
                                <w:i/>
                              </w:rPr>
                              <w:t>457C</w:t>
                            </w:r>
                            <w:r w:rsidR="00615C2F">
                              <w:rPr>
                                <w:b/>
                                <w:i/>
                              </w:rPr>
                              <w:t>/</w:t>
                            </w:r>
                            <w:r w:rsidR="00283FBE">
                              <w:rPr>
                                <w:b/>
                                <w:i/>
                              </w:rPr>
                              <w:t>F</w:t>
                            </w:r>
                            <w:r w:rsidRPr="000B54B3">
                              <w:rPr>
                                <w:b/>
                                <w:i/>
                              </w:rPr>
                              <w:t>:</w:t>
                            </w:r>
                            <w:r>
                              <w:rPr>
                                <w:i/>
                              </w:rPr>
                              <w:t xml:space="preserve"> </w:t>
                            </w:r>
                            <w:r w:rsidR="000B54B3">
                              <w:rPr>
                                <w:i/>
                              </w:rPr>
                              <w:t>“</w:t>
                            </w:r>
                            <w:r w:rsidR="00154056" w:rsidRPr="00154056">
                              <w:rPr>
                                <w:i/>
                              </w:rPr>
                              <w:t xml:space="preserve">Cases of disagreement between the views of client and counsel arise from time to time and counsel may find himself between the Scylla of precipitately, and therefore improperly, withdrawing from the case, and the Charybdis of unreasonably overriding his client's will. The decision may be particularly difficult where the accused is being defended on a capital charge by counsel who is acting </w:t>
                            </w:r>
                            <w:r w:rsidR="00154056" w:rsidRPr="00154056">
                              <w:rPr>
                                <w:i/>
                                <w:iCs/>
                              </w:rPr>
                              <w:t>pro deo</w:t>
                            </w:r>
                            <w:r w:rsidR="00154056" w:rsidRPr="00154056">
                              <w:rPr>
                                <w:i/>
                              </w:rPr>
                              <w:t xml:space="preserve"> without other legal assistance</w:t>
                            </w:r>
                            <w:r w:rsidR="00A74E1E">
                              <w:rPr>
                                <w:i/>
                              </w:rPr>
                              <w:t>….</w:t>
                            </w:r>
                            <w:r w:rsidR="00A74E1E" w:rsidRPr="00A74E1E">
                              <w:rPr>
                                <w:i/>
                                <w:lang w:val="en-US"/>
                              </w:rPr>
                              <w:t>But since the appellant took no steps to withdraw his counsel's mandate and expressed no disagreement with the conduct of his case until after the verdict had been given, the trial was regular and the correctness of the verdict cannot be challenged on appeal to this Court.</w:t>
                            </w:r>
                            <w:r w:rsidR="00615C2F">
                              <w:rPr>
                                <w:i/>
                                <w:lang w:val="en-US"/>
                              </w:rPr>
                              <w:t xml:space="preserve"> </w:t>
                            </w:r>
                            <w:r w:rsidR="00A74E1E" w:rsidRPr="00A74E1E">
                              <w:rPr>
                                <w:i/>
                                <w:lang w:val="en-US"/>
                              </w:rPr>
                              <w:t>The appeal is dismissed.</w:t>
                            </w:r>
                            <w:r w:rsidR="000B54B3">
                              <w:rPr>
                                <w:i/>
                                <w:lang w:val="en-US"/>
                              </w:rPr>
                              <w:t>”</w:t>
                            </w:r>
                          </w:p>
                          <w:p w14:paraId="79C54A5B" w14:textId="41894A7D" w:rsidR="00187B67" w:rsidRPr="00187B67" w:rsidRDefault="00187B67" w:rsidP="00187B67">
                            <w:pPr>
                              <w:spacing w:line="276" w:lineRule="auto"/>
                              <w:rPr>
                                <w:i/>
                                <w:lang w:val="en-US"/>
                              </w:rPr>
                            </w:pPr>
                          </w:p>
                          <w:p w14:paraId="61A40CEE" w14:textId="77777777" w:rsidR="00B7316C" w:rsidRPr="00AC3D57" w:rsidRDefault="00B7316C" w:rsidP="00B7316C">
                            <w:pPr>
                              <w:spacing w:line="276" w:lineRule="auto"/>
                              <w:rPr>
                                <w:i/>
                              </w:rPr>
                            </w:pPr>
                          </w:p>
                          <w:p w14:paraId="6D91017E" w14:textId="77777777" w:rsidR="00B7316C" w:rsidRPr="00AC3D57" w:rsidRDefault="00B7316C" w:rsidP="00B7316C">
                            <w:pPr>
                              <w:spacing w:line="276" w:lineRule="auto"/>
                              <w:rPr>
                                <w:i/>
                              </w:rPr>
                            </w:pPr>
                            <w:r w:rsidRPr="00AC3D57">
                              <w:rPr>
                                <w:i/>
                              </w:rPr>
                              <w:t xml:space="preserve">to </w:t>
                            </w:r>
                          </w:p>
                          <w:p w14:paraId="6EF3225A" w14:textId="77777777" w:rsidR="00B7316C" w:rsidRPr="00101B97" w:rsidRDefault="00B7316C" w:rsidP="00B7316C">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9862CA" id="_x0000_t202" coordsize="21600,21600" o:spt="202" path="m,l,21600r21600,l21600,xe">
                <v:stroke joinstyle="miter"/>
                <v:path gradientshapeok="t" o:connecttype="rect"/>
              </v:shapetype>
              <v:shape id="Text Box 2" o:spid="_x0000_s1026" type="#_x0000_t202" style="position:absolute;left:0;text-align:left;margin-left:0;margin-top:65.7pt;width:459pt;height:420.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">
                <v:textbox>
                  <w:txbxContent>
                    <w:p w14:paraId="4475434F" w14:textId="77777777" w:rsidR="00B7316C" w:rsidRPr="00503FA2" w:rsidRDefault="00B7316C" w:rsidP="00B7316C">
                      <w:pPr>
                        <w:spacing w:line="276" w:lineRule="auto"/>
                        <w:rPr>
                          <w:b/>
                          <w:i/>
                        </w:rPr>
                      </w:pPr>
                      <w:r w:rsidRPr="00503FA2">
                        <w:rPr>
                          <w:b/>
                          <w:i/>
                        </w:rPr>
                        <w:t>Extract:</w:t>
                      </w:r>
                    </w:p>
                    <w:p w14:paraId="49B806A2" w14:textId="6F5BCE28" w:rsidR="00187B67" w:rsidRPr="00187B67" w:rsidRDefault="00090FB5" w:rsidP="00187B67">
                      <w:pPr>
                        <w:spacing w:line="276" w:lineRule="auto"/>
                        <w:rPr>
                          <w:i/>
                          <w:lang w:val="en-US"/>
                        </w:rPr>
                      </w:pPr>
                      <w:r>
                        <w:rPr>
                          <w:b/>
                          <w:i/>
                        </w:rPr>
                        <w:t>456</w:t>
                      </w:r>
                      <w:r w:rsidR="002231F8">
                        <w:rPr>
                          <w:b/>
                          <w:i/>
                        </w:rPr>
                        <w:t>A-C</w:t>
                      </w:r>
                      <w:r w:rsidR="00B7316C" w:rsidRPr="00503FA2">
                        <w:rPr>
                          <w:b/>
                          <w:i/>
                        </w:rPr>
                        <w:t>:</w:t>
                      </w:r>
                      <w:r w:rsidR="00B7316C" w:rsidRPr="00503FA2">
                        <w:rPr>
                          <w:i/>
                        </w:rPr>
                        <w:t xml:space="preserve"> “</w:t>
                      </w:r>
                      <w:r w:rsidR="00812BE7">
                        <w:rPr>
                          <w:i/>
                        </w:rPr>
                        <w:t>…</w:t>
                      </w:r>
                      <w:r w:rsidR="00902BA8" w:rsidRPr="00902BA8">
                        <w:rPr>
                          <w:i/>
                        </w:rPr>
                        <w:t>WARNER, A.J., quotes, out of certain 'grounds of appeal' that were laid before him, one that alleged that the</w:t>
                      </w:r>
                      <w:r w:rsidR="00615DCA">
                        <w:rPr>
                          <w:i/>
                          <w:lang w:val="en-US"/>
                        </w:rPr>
                        <w:t xml:space="preserve"> </w:t>
                      </w:r>
                      <w:r w:rsidR="00187B67" w:rsidRPr="00187B67">
                        <w:rPr>
                          <w:i/>
                          <w:lang w:val="en-US"/>
                        </w:rPr>
                        <w:t>accused was prejudiced when he was instructed by his counsel, contrary to his wishes, not to give evidence. The report proceeds:</w:t>
                      </w:r>
                    </w:p>
                    <w:p w14:paraId="294EEFC2" w14:textId="10F7DE1D" w:rsidR="000A4325" w:rsidRDefault="00187B67" w:rsidP="00187B67">
                      <w:pPr>
                        <w:spacing w:line="276" w:lineRule="auto"/>
                        <w:rPr>
                          <w:i/>
                          <w:lang w:val="en-US"/>
                        </w:rPr>
                      </w:pPr>
                      <w:r w:rsidRPr="00187B67">
                        <w:rPr>
                          <w:i/>
                          <w:lang w:val="en-US"/>
                        </w:rPr>
                        <w:t xml:space="preserve">   'In argument on this ground. Mr. </w:t>
                      </w:r>
                      <w:r w:rsidRPr="00187B67">
                        <w:rPr>
                          <w:i/>
                          <w:iCs/>
                          <w:lang w:val="en-US"/>
                        </w:rPr>
                        <w:t>Boshoff</w:t>
                      </w:r>
                      <w:r w:rsidRPr="00187B67">
                        <w:rPr>
                          <w:i/>
                          <w:lang w:val="en-US"/>
                        </w:rPr>
                        <w:t xml:space="preserve"> made it clear that not only did he</w:t>
                      </w:r>
                      <w:r w:rsidR="00090FB5">
                        <w:rPr>
                          <w:i/>
                          <w:lang w:val="en-US"/>
                        </w:rPr>
                        <w:t xml:space="preserve"> </w:t>
                      </w:r>
                      <w:r w:rsidRPr="00187B67">
                        <w:rPr>
                          <w:i/>
                          <w:lang w:val="en-US"/>
                        </w:rPr>
                        <w:t xml:space="preserve">advise the accused not to give evidence but he insisted that it was his (Mr. </w:t>
                      </w:r>
                      <w:r w:rsidRPr="00187B67">
                        <w:rPr>
                          <w:i/>
                          <w:iCs/>
                          <w:lang w:val="en-US"/>
                        </w:rPr>
                        <w:t>Boshoff's)</w:t>
                      </w:r>
                      <w:r w:rsidRPr="00187B67">
                        <w:rPr>
                          <w:i/>
                          <w:lang w:val="en-US"/>
                        </w:rPr>
                        <w:t xml:space="preserve"> function to decide that he should not</w:t>
                      </w:r>
                      <w:r w:rsidR="006C30F0" w:rsidRPr="00187B67">
                        <w:rPr>
                          <w:i/>
                          <w:lang w:val="en-US"/>
                        </w:rPr>
                        <w:t>.</w:t>
                      </w:r>
                      <w:r w:rsidR="006C30F0">
                        <w:rPr>
                          <w:i/>
                          <w:lang w:val="en-US"/>
                        </w:rPr>
                        <w:t>” …..</w:t>
                      </w:r>
                      <w:r w:rsidR="005E309F">
                        <w:rPr>
                          <w:i/>
                          <w:lang w:val="en-US"/>
                        </w:rPr>
                        <w:t xml:space="preserve"> “</w:t>
                      </w:r>
                      <w:r w:rsidRPr="00187B67">
                        <w:rPr>
                          <w:i/>
                          <w:lang w:val="en-US"/>
                        </w:rPr>
                        <w:t xml:space="preserve">I see no reason to doubt that his authority over the conduct of the case which he had been instructed to fight on behalf of a client was quite as full as that of the English barrister (cf. </w:t>
                      </w:r>
                      <w:r w:rsidRPr="00187B67">
                        <w:rPr>
                          <w:i/>
                          <w:iCs/>
                          <w:lang w:val="en-US"/>
                        </w:rPr>
                        <w:t>Klopper v van Rensburg</w:t>
                      </w:r>
                      <w:r w:rsidRPr="00187B67">
                        <w:rPr>
                          <w:i/>
                          <w:lang w:val="en-US"/>
                        </w:rPr>
                        <w:t xml:space="preserve">, 1920 E.D.L. 239 at p. 242). The English cases show that in general, </w:t>
                      </w:r>
                      <w:r w:rsidRPr="00187B67">
                        <w:rPr>
                          <w:i/>
                          <w:u w:val="single"/>
                          <w:lang w:val="en-US"/>
                        </w:rPr>
                        <w:t>trials cannot be conducted partly by the client and partly by counsel</w:t>
                      </w:r>
                      <w:r w:rsidRPr="00187B67">
                        <w:rPr>
                          <w:i/>
                          <w:lang w:val="en-US"/>
                        </w:rPr>
                        <w:t xml:space="preserve">. </w:t>
                      </w:r>
                      <w:r w:rsidRPr="00187B67">
                        <w:rPr>
                          <w:i/>
                          <w:u w:val="single"/>
                          <w:lang w:val="en-US"/>
                        </w:rPr>
                        <w:t xml:space="preserve">Once the client has placed his case in the hands of counsel the latter has complete control and it </w:t>
                      </w:r>
                      <w:r w:rsidR="003E4D9D" w:rsidRPr="00187B67">
                        <w:rPr>
                          <w:i/>
                          <w:u w:val="single"/>
                          <w:lang w:val="en-US"/>
                        </w:rPr>
                        <w:t>is,</w:t>
                      </w:r>
                      <w:r w:rsidRPr="00187B67">
                        <w:rPr>
                          <w:i/>
                          <w:u w:val="single"/>
                          <w:lang w:val="en-US"/>
                        </w:rPr>
                        <w:t xml:space="preserve"> he who must decide whether a particular witness, including the client, is to be called or not.</w:t>
                      </w:r>
                      <w:r w:rsidRPr="00187B67">
                        <w:rPr>
                          <w:i/>
                          <w:lang w:val="en-US"/>
                        </w:rPr>
                        <w:t xml:space="preserve"> So in </w:t>
                      </w:r>
                      <w:r w:rsidRPr="00187B67">
                        <w:rPr>
                          <w:i/>
                          <w:iCs/>
                          <w:lang w:val="en-US"/>
                        </w:rPr>
                        <w:t>Swinfen v Lord Chelmsford</w:t>
                      </w:r>
                      <w:r w:rsidRPr="00187B67">
                        <w:rPr>
                          <w:i/>
                          <w:lang w:val="en-US"/>
                        </w:rPr>
                        <w:t>, 157 E.R. 1436 at p. 1449, POLLOCK, C.B., states the Court's view that, </w:t>
                      </w:r>
                      <w:r w:rsidRPr="00187B67">
                        <w:rPr>
                          <w:i/>
                          <w:u w:val="single"/>
                          <w:lang w:val="en-US"/>
                        </w:rPr>
                        <w:t xml:space="preserve">'a counsel has complete authority over the suit, the mode of conducting it, and all that is incident to it - such as withdrawing the record, withdrawing a juror, calling no witnesses, or selecting such as, in his discretion, he thinks ought to be called, and other matters which properly belong to the suit and the management and conduct of the </w:t>
                      </w:r>
                      <w:r w:rsidR="000B54B3" w:rsidRPr="00094372">
                        <w:rPr>
                          <w:i/>
                          <w:u w:val="single"/>
                          <w:lang w:val="en-US"/>
                        </w:rPr>
                        <w:t>trial.”</w:t>
                      </w:r>
                    </w:p>
                    <w:p w14:paraId="4D719782" w14:textId="7AF8EA39" w:rsidR="00A74E1E" w:rsidRPr="00A74E1E" w:rsidRDefault="00237F94" w:rsidP="00A74E1E">
                      <w:pPr>
                        <w:spacing w:line="276" w:lineRule="auto"/>
                        <w:rPr>
                          <w:i/>
                          <w:lang w:val="en-US"/>
                        </w:rPr>
                      </w:pPr>
                      <w:r w:rsidRPr="000B54B3">
                        <w:rPr>
                          <w:b/>
                          <w:i/>
                        </w:rPr>
                        <w:t>457C</w:t>
                      </w:r>
                      <w:r w:rsidR="00615C2F">
                        <w:rPr>
                          <w:b/>
                          <w:i/>
                        </w:rPr>
                        <w:t>/</w:t>
                      </w:r>
                      <w:r w:rsidR="00283FBE">
                        <w:rPr>
                          <w:b/>
                          <w:i/>
                        </w:rPr>
                        <w:t>F</w:t>
                      </w:r>
                      <w:r w:rsidRPr="000B54B3">
                        <w:rPr>
                          <w:b/>
                          <w:i/>
                        </w:rPr>
                        <w:t>:</w:t>
                      </w:r>
                      <w:r>
                        <w:rPr>
                          <w:i/>
                        </w:rPr>
                        <w:t xml:space="preserve"> </w:t>
                      </w:r>
                      <w:r w:rsidR="000B54B3">
                        <w:rPr>
                          <w:i/>
                        </w:rPr>
                        <w:t>“</w:t>
                      </w:r>
                      <w:r w:rsidR="00154056" w:rsidRPr="00154056">
                        <w:rPr>
                          <w:i/>
                        </w:rPr>
                        <w:t xml:space="preserve">Cases of disagreement between the views of client and counsel arise from time to time and counsel may find himself between the Scylla of precipitately, and therefore improperly, withdrawing from the case, and the Charybdis of unreasonably overriding his client's will. The decision may be particularly difficult where the accused is being defended on a capital charge by counsel who is acting </w:t>
                      </w:r>
                      <w:r w:rsidR="00154056" w:rsidRPr="00154056">
                        <w:rPr>
                          <w:i/>
                          <w:iCs/>
                        </w:rPr>
                        <w:t>pro deo</w:t>
                      </w:r>
                      <w:r w:rsidR="00154056" w:rsidRPr="00154056">
                        <w:rPr>
                          <w:i/>
                        </w:rPr>
                        <w:t xml:space="preserve"> without other legal assistance</w:t>
                      </w:r>
                      <w:r w:rsidR="00A74E1E">
                        <w:rPr>
                          <w:i/>
                        </w:rPr>
                        <w:t>….</w:t>
                      </w:r>
                      <w:r w:rsidR="00A74E1E" w:rsidRPr="00A74E1E">
                        <w:rPr>
                          <w:i/>
                          <w:lang w:val="en-US"/>
                        </w:rPr>
                        <w:t>But since the appellant took no steps to withdraw his counsel's mandate and expressed no disagreement with the conduct of his case until after the verdict had been given, the trial was regular and the correctness of the verdict cannot be challenged on appeal to this Court.</w:t>
                      </w:r>
                      <w:r w:rsidR="00615C2F">
                        <w:rPr>
                          <w:i/>
                          <w:lang w:val="en-US"/>
                        </w:rPr>
                        <w:t xml:space="preserve"> </w:t>
                      </w:r>
                      <w:r w:rsidR="00A74E1E" w:rsidRPr="00A74E1E">
                        <w:rPr>
                          <w:i/>
                          <w:lang w:val="en-US"/>
                        </w:rPr>
                        <w:t>The appeal is dismissed.</w:t>
                      </w:r>
                      <w:r w:rsidR="000B54B3">
                        <w:rPr>
                          <w:i/>
                          <w:lang w:val="en-US"/>
                        </w:rPr>
                        <w:t>”</w:t>
                      </w:r>
                    </w:p>
                    <w:p w14:paraId="79C54A5B" w14:textId="41894A7D" w:rsidR="00187B67" w:rsidRPr="00187B67" w:rsidRDefault="00187B67" w:rsidP="00187B67">
                      <w:pPr>
                        <w:spacing w:line="276" w:lineRule="auto"/>
                        <w:rPr>
                          <w:i/>
                          <w:lang w:val="en-US"/>
                        </w:rPr>
                      </w:pPr>
                    </w:p>
                    <w:p w14:paraId="61A40CEE" w14:textId="77777777" w:rsidR="00B7316C" w:rsidRPr="00AC3D57" w:rsidRDefault="00B7316C" w:rsidP="00B7316C">
                      <w:pPr>
                        <w:spacing w:line="276" w:lineRule="auto"/>
                        <w:rPr>
                          <w:i/>
                        </w:rPr>
                      </w:pPr>
                    </w:p>
                    <w:p w14:paraId="6D91017E" w14:textId="77777777" w:rsidR="00B7316C" w:rsidRPr="00AC3D57" w:rsidRDefault="00B7316C" w:rsidP="00B7316C">
                      <w:pPr>
                        <w:spacing w:line="276" w:lineRule="auto"/>
                        <w:rPr>
                          <w:i/>
                        </w:rPr>
                      </w:pPr>
                      <w:r w:rsidRPr="00AC3D57">
                        <w:rPr>
                          <w:i/>
                        </w:rPr>
                        <w:t xml:space="preserve">to </w:t>
                      </w:r>
                    </w:p>
                    <w:p w14:paraId="6EF3225A" w14:textId="77777777" w:rsidR="00B7316C" w:rsidRPr="00101B97" w:rsidRDefault="00B7316C" w:rsidP="00B7316C">
                      <w:pPr>
                        <w:spacing w:line="276" w:lineRule="auto"/>
                        <w:rPr>
                          <w:i/>
                          <w:sz w:val="22"/>
                          <w:szCs w:val="22"/>
                        </w:rPr>
                      </w:pPr>
                    </w:p>
                  </w:txbxContent>
                </v:textbox>
                <w10:wrap type="square" anchorx="margin"/>
              </v:shape>
            </w:pict>
          </mc:Fallback>
        </mc:AlternateContent>
      </w:r>
      <w:r w:rsidR="002D1EBF" w:rsidRPr="000D6C7F">
        <w:rPr>
          <w:rFonts w:ascii="Arial" w:hAnsi="Arial" w:cs="Arial"/>
          <w:lang w:val="en-US"/>
        </w:rPr>
        <w:t xml:space="preserve">If an accused, in spite of his advocate's advice to the contrary, insists on going into the witness box and thereby makes it impossible for his advocate to exercise his legal ability honourably and faithfully as required of him by his office, then </w:t>
      </w:r>
      <w:r w:rsidR="002D1EBF" w:rsidRPr="00537ED6">
        <w:rPr>
          <w:rFonts w:ascii="Arial" w:hAnsi="Arial" w:cs="Arial"/>
          <w:u w:val="single"/>
          <w:lang w:val="en-US"/>
        </w:rPr>
        <w:t>the advocate must withdraw from the case rather than act contrary to the express wish of his client.</w:t>
      </w:r>
      <w:r w:rsidR="002D1EBF" w:rsidRPr="000D6C7F">
        <w:rPr>
          <w:rFonts w:ascii="Arial" w:hAnsi="Arial" w:cs="Arial"/>
          <w:lang w:val="en-US"/>
        </w:rPr>
        <w:t xml:space="preserve"> </w:t>
      </w:r>
      <w:bookmarkStart w:id="0" w:name="_GoBack"/>
      <w:bookmarkEnd w:id="0"/>
      <w:r w:rsidR="002D1EBF" w:rsidRPr="007C2FA3">
        <w:rPr>
          <w:rFonts w:ascii="Arial" w:hAnsi="Arial" w:cs="Arial"/>
          <w:b/>
          <w:sz w:val="28"/>
          <w:szCs w:val="28"/>
          <w:u w:val="single"/>
          <w:lang w:val="en-US"/>
        </w:rPr>
        <w:lastRenderedPageBreak/>
        <w:t xml:space="preserve">Carolus &amp; Another v Saambou Bank </w:t>
      </w:r>
      <w:r w:rsidR="003E4D9D" w:rsidRPr="007C2FA3">
        <w:rPr>
          <w:rFonts w:ascii="Arial" w:hAnsi="Arial" w:cs="Arial"/>
          <w:b/>
          <w:sz w:val="28"/>
          <w:szCs w:val="28"/>
          <w:u w:val="single"/>
          <w:lang w:val="en-US"/>
        </w:rPr>
        <w:t>Ltd.; ·</w:t>
      </w:r>
      <w:r w:rsidR="002D1EBF" w:rsidRPr="007C2FA3">
        <w:rPr>
          <w:rFonts w:ascii="Arial" w:hAnsi="Arial" w:cs="Arial"/>
          <w:b/>
          <w:sz w:val="28"/>
          <w:szCs w:val="28"/>
          <w:u w:val="single"/>
          <w:lang w:val="en-US"/>
        </w:rPr>
        <w:t>Smith v Saambou Bank Ltd.</w:t>
      </w:r>
      <w:r w:rsidR="002D1EBF" w:rsidRPr="007C2FA3">
        <w:rPr>
          <w:rFonts w:ascii="Arial" w:hAnsi="Arial" w:cs="Arial"/>
          <w:sz w:val="28"/>
          <w:szCs w:val="28"/>
          <w:u w:val="single"/>
          <w:lang w:val="en-US"/>
        </w:rPr>
        <w:t xml:space="preserve"> 2002(6) SA 346 (SE)</w:t>
      </w:r>
    </w:p>
    <w:p w14:paraId="29CE61FB" w14:textId="77777777" w:rsidR="007C2FA3" w:rsidRDefault="007C2FA3" w:rsidP="002D1EBF">
      <w:pPr>
        <w:spacing w:line="276" w:lineRule="auto"/>
        <w:rPr>
          <w:rFonts w:ascii="Arial" w:hAnsi="Arial" w:cs="Arial"/>
          <w:lang w:val="en-US"/>
        </w:rPr>
      </w:pPr>
    </w:p>
    <w:p w14:paraId="09F4B0A5" w14:textId="180CA79E" w:rsidR="007C2FA3" w:rsidRPr="000D4470" w:rsidRDefault="007C2FA3" w:rsidP="002D1EBF">
      <w:pPr>
        <w:rPr>
          <w:rFonts w:ascii="Arial" w:hAnsi="Arial" w:cs="Arial"/>
          <w:b/>
          <w:u w:val="single"/>
          <w:lang w:val="en-US"/>
        </w:rPr>
      </w:pPr>
      <w:r w:rsidRPr="000D4470">
        <w:rPr>
          <w:rFonts w:ascii="Arial" w:hAnsi="Arial" w:cs="Arial"/>
          <w:b/>
          <w:u w:val="single"/>
          <w:lang w:val="en-US"/>
        </w:rPr>
        <w:t>FACTS:</w:t>
      </w:r>
    </w:p>
    <w:p w14:paraId="4AC3FCA2" w14:textId="388705CE" w:rsidR="007C2FA3" w:rsidRDefault="00E03B2D" w:rsidP="002D1EBF">
      <w:pPr>
        <w:rPr>
          <w:rFonts w:ascii="Arial" w:hAnsi="Arial" w:cs="Arial"/>
          <w:lang w:val="en-US"/>
        </w:rPr>
      </w:pPr>
      <w:r w:rsidRPr="00B7316C">
        <w:rPr>
          <w:rFonts w:ascii="Arial" w:hAnsi="Arial" w:cs="Arial"/>
          <w:noProof/>
          <w:lang w:val="en-US"/>
        </w:rPr>
        <mc:AlternateContent>
          <mc:Choice Requires="wps">
            <w:drawing>
              <wp:anchor distT="45720" distB="45720" distL="114300" distR="114300" simplePos="0" relativeHeight="251661312" behindDoc="0" locked="0" layoutInCell="1" allowOverlap="1" wp14:anchorId="70699B01" wp14:editId="55117263">
                <wp:simplePos x="0" y="0"/>
                <wp:positionH relativeFrom="margin">
                  <wp:align>right</wp:align>
                </wp:positionH>
                <wp:positionV relativeFrom="paragraph">
                  <wp:posOffset>10160</wp:posOffset>
                </wp:positionV>
                <wp:extent cx="2752725" cy="490537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4905375"/>
                        </a:xfrm>
                        <a:prstGeom prst="rect">
                          <a:avLst/>
                        </a:prstGeom>
                        <a:solidFill>
                          <a:srgbClr val="FFFFFF"/>
                        </a:solidFill>
                        <a:ln w="9525">
                          <a:solidFill>
                            <a:srgbClr val="000000"/>
                          </a:solidFill>
                          <a:miter lim="800000"/>
                          <a:headEnd/>
                          <a:tailEnd/>
                        </a:ln>
                      </wps:spPr>
                      <wps:txbx>
                        <w:txbxContent>
                          <w:p w14:paraId="320325E4" w14:textId="77777777" w:rsidR="00C924A6" w:rsidRPr="00503FA2" w:rsidRDefault="00C924A6" w:rsidP="00C924A6">
                            <w:pPr>
                              <w:spacing w:line="276" w:lineRule="auto"/>
                              <w:rPr>
                                <w:b/>
                                <w:i/>
                              </w:rPr>
                            </w:pPr>
                            <w:r w:rsidRPr="00503FA2">
                              <w:rPr>
                                <w:b/>
                                <w:i/>
                              </w:rPr>
                              <w:t>Extract:</w:t>
                            </w:r>
                          </w:p>
                          <w:p w14:paraId="33107815" w14:textId="55F63D4B" w:rsidR="00C924A6" w:rsidRPr="00AC3D57" w:rsidRDefault="00736E53" w:rsidP="00C924A6">
                            <w:pPr>
                              <w:spacing w:line="276" w:lineRule="auto"/>
                              <w:rPr>
                                <w:i/>
                              </w:rPr>
                            </w:pPr>
                            <w:r>
                              <w:rPr>
                                <w:b/>
                                <w:i/>
                              </w:rPr>
                              <w:t>348H-J</w:t>
                            </w:r>
                            <w:r w:rsidR="00C924A6" w:rsidRPr="00503FA2">
                              <w:rPr>
                                <w:b/>
                                <w:i/>
                              </w:rPr>
                              <w:t>:</w:t>
                            </w:r>
                            <w:r w:rsidR="00C924A6" w:rsidRPr="00503FA2">
                              <w:rPr>
                                <w:i/>
                              </w:rPr>
                              <w:t xml:space="preserve"> </w:t>
                            </w:r>
                            <w:r>
                              <w:rPr>
                                <w:i/>
                              </w:rPr>
                              <w:t>“</w:t>
                            </w:r>
                            <w:r w:rsidR="008C044B" w:rsidRPr="008C044B">
                              <w:rPr>
                                <w:i/>
                              </w:rPr>
                              <w:t xml:space="preserve">I may mention at the outset that Mr Totos, who appears for the applicants, has made affidavits on the merits in both applications. They are in identical terms. I permitted him to continue to represent the applicants on the strength of his assurance that he would not rely on the contents of his affidavits for any purpose whatsoever. I was reluctant even to take this course. I am strongly of the view, which according to </w:t>
                            </w:r>
                            <w:r w:rsidR="008C044B" w:rsidRPr="008C044B">
                              <w:rPr>
                                <w:i/>
                                <w:iCs/>
                              </w:rPr>
                              <w:t>Wigmore on Evidence</w:t>
                            </w:r>
                            <w:r w:rsidR="008C044B" w:rsidRPr="008C044B">
                              <w:rPr>
                                <w:i/>
                              </w:rPr>
                              <w:t xml:space="preserve"> is shared by a large majority of High Court Judges in the United States and the United Kingdom, that the </w:t>
                            </w:r>
                            <w:r w:rsidR="008C044B" w:rsidRPr="00D01B32">
                              <w:rPr>
                                <w:i/>
                                <w:u w:val="single"/>
                              </w:rPr>
                              <w:t>independence and objectivity of counsel is compromised if he has identified with the issues by also being a witness.</w:t>
                            </w:r>
                            <w:r w:rsidR="008C044B" w:rsidRPr="008C044B">
                              <w:rPr>
                                <w:i/>
                              </w:rPr>
                              <w:t xml:space="preserve"> I doubt whether I will be prepared in future to allow a similar departure from what I regard as the proper and desirable practice of requiring of practitioners that they have and maintain an arm's length association with the merits of the case before me</w:t>
                            </w:r>
                            <w:r w:rsidR="00E03B2D">
                              <w:rPr>
                                <w:i/>
                              </w:rPr>
                              <w:t>.”</w:t>
                            </w:r>
                            <w:r w:rsidR="00C924A6" w:rsidRPr="00902BA8">
                              <w:rPr>
                                <w:i/>
                              </w:rPr>
                              <w:t xml:space="preserve">, </w:t>
                            </w:r>
                          </w:p>
                          <w:p w14:paraId="19DB838A" w14:textId="77777777" w:rsidR="00C924A6" w:rsidRPr="00101B97" w:rsidRDefault="00C924A6" w:rsidP="00C924A6">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99B01" id="_x0000_s1027" type="#_x0000_t202" style="position:absolute;left:0;text-align:left;margin-left:165.55pt;margin-top:.8pt;width:216.75pt;height:386.2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">
                <v:textbox>
                  <w:txbxContent>
                    <w:p w14:paraId="320325E4" w14:textId="77777777" w:rsidR="00C924A6" w:rsidRPr="00503FA2" w:rsidRDefault="00C924A6" w:rsidP="00C924A6">
                      <w:pPr>
                        <w:spacing w:line="276" w:lineRule="auto"/>
                        <w:rPr>
                          <w:b/>
                          <w:i/>
                        </w:rPr>
                      </w:pPr>
                      <w:r w:rsidRPr="00503FA2">
                        <w:rPr>
                          <w:b/>
                          <w:i/>
                        </w:rPr>
                        <w:t>Extract:</w:t>
                      </w:r>
                    </w:p>
                    <w:p w14:paraId="33107815" w14:textId="55F63D4B" w:rsidR="00C924A6" w:rsidRPr="00AC3D57" w:rsidRDefault="00736E53" w:rsidP="00C924A6">
                      <w:pPr>
                        <w:spacing w:line="276" w:lineRule="auto"/>
                        <w:rPr>
                          <w:i/>
                        </w:rPr>
                      </w:pPr>
                      <w:r>
                        <w:rPr>
                          <w:b/>
                          <w:i/>
                        </w:rPr>
                        <w:t>348H-J</w:t>
                      </w:r>
                      <w:r w:rsidR="00C924A6" w:rsidRPr="00503FA2">
                        <w:rPr>
                          <w:b/>
                          <w:i/>
                        </w:rPr>
                        <w:t>:</w:t>
                      </w:r>
                      <w:r w:rsidR="00C924A6" w:rsidRPr="00503FA2">
                        <w:rPr>
                          <w:i/>
                        </w:rPr>
                        <w:t xml:space="preserve"> </w:t>
                      </w:r>
                      <w:r>
                        <w:rPr>
                          <w:i/>
                        </w:rPr>
                        <w:t>“</w:t>
                      </w:r>
                      <w:r w:rsidR="008C044B" w:rsidRPr="008C044B">
                        <w:rPr>
                          <w:i/>
                        </w:rPr>
                        <w:t xml:space="preserve">I may mention at the outset that Mr Totos, who appears for the applicants, has made affidavits on the merits in both applications. They are in identical terms. I permitted him to continue to represent the applicants on the strength of his assurance that he would not rely on the contents of his affidavits for any purpose whatsoever. I was reluctant even to take this course. I am strongly of the view, which according to </w:t>
                      </w:r>
                      <w:r w:rsidR="008C044B" w:rsidRPr="008C044B">
                        <w:rPr>
                          <w:i/>
                          <w:iCs/>
                        </w:rPr>
                        <w:t>Wigmore on Evidence</w:t>
                      </w:r>
                      <w:r w:rsidR="008C044B" w:rsidRPr="008C044B">
                        <w:rPr>
                          <w:i/>
                        </w:rPr>
                        <w:t xml:space="preserve"> is shared by a large majority of High Court Judges in the United States and the United Kingdom, that the </w:t>
                      </w:r>
                      <w:r w:rsidR="008C044B" w:rsidRPr="00D01B32">
                        <w:rPr>
                          <w:i/>
                          <w:u w:val="single"/>
                        </w:rPr>
                        <w:t>independence and objectivity of counsel is compromised if he has identified with the issues by also being a witness.</w:t>
                      </w:r>
                      <w:r w:rsidR="008C044B" w:rsidRPr="008C044B">
                        <w:rPr>
                          <w:i/>
                        </w:rPr>
                        <w:t xml:space="preserve"> I doubt whether I will be prepared in future to allow a similar departure from what I regard as the proper and desirable practice of requiring of practitioners that they have and maintain an arm's length association with the merits of the case before me</w:t>
                      </w:r>
                      <w:r w:rsidR="00E03B2D">
                        <w:rPr>
                          <w:i/>
                        </w:rPr>
                        <w:t>.”</w:t>
                      </w:r>
                      <w:r w:rsidR="00C924A6" w:rsidRPr="00902BA8">
                        <w:rPr>
                          <w:i/>
                        </w:rPr>
                        <w:t xml:space="preserve">, </w:t>
                      </w:r>
                    </w:p>
                    <w:p w14:paraId="19DB838A" w14:textId="77777777" w:rsidR="00C924A6" w:rsidRPr="00101B97" w:rsidRDefault="00C924A6" w:rsidP="00C924A6">
                      <w:pPr>
                        <w:spacing w:line="276" w:lineRule="auto"/>
                        <w:rPr>
                          <w:i/>
                          <w:sz w:val="22"/>
                          <w:szCs w:val="22"/>
                        </w:rPr>
                      </w:pPr>
                    </w:p>
                  </w:txbxContent>
                </v:textbox>
                <w10:wrap type="square" anchorx="margin"/>
              </v:shape>
            </w:pict>
          </mc:Fallback>
        </mc:AlternateContent>
      </w:r>
    </w:p>
    <w:p w14:paraId="3B1FC9E3" w14:textId="77777777" w:rsidR="003779E3" w:rsidRDefault="00C66620" w:rsidP="006432DF">
      <w:pPr>
        <w:rPr>
          <w:rFonts w:ascii="Arial" w:hAnsi="Arial" w:cs="Arial"/>
          <w:noProof/>
        </w:rPr>
      </w:pPr>
      <w:r w:rsidRPr="00523724">
        <w:rPr>
          <w:rFonts w:ascii="Arial" w:hAnsi="Arial" w:cs="Arial"/>
          <w:noProof/>
        </w:rPr>
        <w:t xml:space="preserve">The applicants in both cases applied for the rescission of default judgments granted against them in favour of the respondent bank. </w:t>
      </w:r>
    </w:p>
    <w:p w14:paraId="4BCE891A" w14:textId="77777777" w:rsidR="003779E3" w:rsidRDefault="003779E3" w:rsidP="006432DF">
      <w:pPr>
        <w:rPr>
          <w:rFonts w:ascii="Arial" w:hAnsi="Arial" w:cs="Arial"/>
          <w:noProof/>
        </w:rPr>
      </w:pPr>
    </w:p>
    <w:p w14:paraId="414B2288" w14:textId="4D90EC85" w:rsidR="006432DF" w:rsidRPr="00523724" w:rsidRDefault="00C66620" w:rsidP="006432DF">
      <w:pPr>
        <w:rPr>
          <w:rFonts w:ascii="Arial" w:hAnsi="Arial" w:cs="Arial"/>
          <w:lang w:val="en-US"/>
        </w:rPr>
      </w:pPr>
      <w:r w:rsidRPr="00523724">
        <w:rPr>
          <w:rFonts w:ascii="Arial" w:hAnsi="Arial" w:cs="Arial"/>
          <w:noProof/>
        </w:rPr>
        <w:t>The cause of action in both matters had been the applicants' failure to make payments due in terms of a mortgage bond.</w:t>
      </w:r>
      <w:r w:rsidR="0023292F" w:rsidRPr="00523724">
        <w:rPr>
          <w:rFonts w:ascii="Arial" w:hAnsi="Arial" w:cs="Arial"/>
          <w:noProof/>
        </w:rPr>
        <w:t xml:space="preserve"> </w:t>
      </w:r>
      <w:r w:rsidR="002D1EBF" w:rsidRPr="00523724">
        <w:rPr>
          <w:rFonts w:ascii="Arial" w:hAnsi="Arial" w:cs="Arial"/>
          <w:lang w:val="en-US"/>
        </w:rPr>
        <w:t>The applicant</w:t>
      </w:r>
      <w:r w:rsidR="0023292F" w:rsidRPr="00523724">
        <w:rPr>
          <w:rFonts w:ascii="Arial" w:hAnsi="Arial" w:cs="Arial"/>
          <w:lang w:val="en-US"/>
        </w:rPr>
        <w:t>s</w:t>
      </w:r>
      <w:r w:rsidR="002D1EBF" w:rsidRPr="00523724">
        <w:rPr>
          <w:rFonts w:ascii="Arial" w:hAnsi="Arial" w:cs="Arial"/>
          <w:lang w:val="en-US"/>
        </w:rPr>
        <w:t xml:space="preserve"> argued that they had been misled by a representation made by the respondent acting in concert with other banks</w:t>
      </w:r>
      <w:r w:rsidR="00927B6C" w:rsidRPr="00523724">
        <w:rPr>
          <w:rFonts w:ascii="Arial" w:hAnsi="Arial" w:cs="Arial"/>
          <w:lang w:val="en-US"/>
        </w:rPr>
        <w:t>.</w:t>
      </w:r>
    </w:p>
    <w:p w14:paraId="49990371" w14:textId="77777777" w:rsidR="006432DF" w:rsidRPr="00523724" w:rsidRDefault="006432DF" w:rsidP="006432DF">
      <w:pPr>
        <w:rPr>
          <w:rFonts w:ascii="Arial" w:hAnsi="Arial" w:cs="Arial"/>
          <w:lang w:val="en-US"/>
        </w:rPr>
      </w:pPr>
    </w:p>
    <w:p w14:paraId="3D4CFDBB" w14:textId="77777777" w:rsidR="00161997" w:rsidRDefault="002D1EBF" w:rsidP="002D1EBF">
      <w:pPr>
        <w:rPr>
          <w:rFonts w:ascii="Arial" w:hAnsi="Arial" w:cs="Arial"/>
          <w:lang w:val="en-US"/>
        </w:rPr>
      </w:pPr>
      <w:r w:rsidRPr="00523724">
        <w:rPr>
          <w:rFonts w:ascii="Arial" w:hAnsi="Arial" w:cs="Arial"/>
          <w:lang w:val="en-US"/>
        </w:rPr>
        <w:t xml:space="preserve">The attorney appearing for the applicant had filed an affidavit on the merits of the application </w:t>
      </w:r>
      <w:r w:rsidRPr="00523724">
        <w:rPr>
          <w:rFonts w:ascii="Arial" w:hAnsi="Arial" w:cs="Arial"/>
          <w:u w:val="single"/>
          <w:lang w:val="en-US"/>
        </w:rPr>
        <w:t>deposed to by himself</w:t>
      </w:r>
      <w:r w:rsidRPr="00523724">
        <w:rPr>
          <w:rFonts w:ascii="Arial" w:hAnsi="Arial" w:cs="Arial"/>
          <w:lang w:val="en-US"/>
        </w:rPr>
        <w:t xml:space="preserve">. </w:t>
      </w:r>
    </w:p>
    <w:p w14:paraId="469B171E" w14:textId="77777777" w:rsidR="00161997" w:rsidRDefault="00161997" w:rsidP="002D1EBF">
      <w:pPr>
        <w:rPr>
          <w:rFonts w:ascii="Arial" w:hAnsi="Arial" w:cs="Arial"/>
          <w:lang w:val="en-US"/>
        </w:rPr>
      </w:pPr>
    </w:p>
    <w:p w14:paraId="5DEC1B15" w14:textId="77777777" w:rsidR="000601E9" w:rsidRDefault="000601E9" w:rsidP="002D1EBF">
      <w:pPr>
        <w:rPr>
          <w:rFonts w:ascii="Arial" w:hAnsi="Arial" w:cs="Arial"/>
          <w:b/>
          <w:lang w:val="en-US"/>
        </w:rPr>
      </w:pPr>
    </w:p>
    <w:p w14:paraId="6BAE6063" w14:textId="6BA96DF4" w:rsidR="00161997" w:rsidRPr="008A6185" w:rsidRDefault="00161997" w:rsidP="002D1EBF">
      <w:pPr>
        <w:rPr>
          <w:rFonts w:ascii="Arial" w:hAnsi="Arial" w:cs="Arial"/>
          <w:b/>
          <w:u w:val="single"/>
          <w:lang w:val="en-US"/>
        </w:rPr>
      </w:pPr>
      <w:r w:rsidRPr="008A6185">
        <w:rPr>
          <w:rFonts w:ascii="Arial" w:hAnsi="Arial" w:cs="Arial"/>
          <w:b/>
          <w:u w:val="single"/>
          <w:lang w:val="en-US"/>
        </w:rPr>
        <w:t>PRINCIPLE:</w:t>
      </w:r>
    </w:p>
    <w:p w14:paraId="7B78E6EC" w14:textId="77777777" w:rsidR="00161997" w:rsidRDefault="00161997" w:rsidP="002D1EBF">
      <w:pPr>
        <w:rPr>
          <w:rFonts w:ascii="Arial" w:hAnsi="Arial" w:cs="Arial"/>
          <w:lang w:val="en-US"/>
        </w:rPr>
      </w:pPr>
    </w:p>
    <w:p w14:paraId="6B4A6811" w14:textId="77777777" w:rsidR="000601E9" w:rsidRDefault="002D1EBF" w:rsidP="002D1EBF">
      <w:pPr>
        <w:rPr>
          <w:rFonts w:ascii="Arial" w:hAnsi="Arial" w:cs="Arial"/>
          <w:u w:val="single"/>
          <w:lang w:val="en-US"/>
        </w:rPr>
      </w:pPr>
      <w:r w:rsidRPr="00523724">
        <w:rPr>
          <w:rFonts w:ascii="Arial" w:hAnsi="Arial" w:cs="Arial"/>
          <w:lang w:val="en-US"/>
        </w:rPr>
        <w:t xml:space="preserve">On this point, it was held that </w:t>
      </w:r>
      <w:r w:rsidRPr="00523724">
        <w:rPr>
          <w:rFonts w:ascii="Arial" w:hAnsi="Arial" w:cs="Arial"/>
          <w:u w:val="single"/>
          <w:lang w:val="en-US"/>
        </w:rPr>
        <w:t xml:space="preserve">the independence and objectivity of counsel was compromised if he had identified himself with the issues by also being a witness. </w:t>
      </w:r>
    </w:p>
    <w:p w14:paraId="012757C1" w14:textId="77777777" w:rsidR="000601E9" w:rsidRDefault="000601E9" w:rsidP="002D1EBF">
      <w:pPr>
        <w:rPr>
          <w:rFonts w:ascii="Arial" w:hAnsi="Arial" w:cs="Arial"/>
          <w:u w:val="single"/>
          <w:lang w:val="en-US"/>
        </w:rPr>
      </w:pPr>
    </w:p>
    <w:p w14:paraId="02F7A4A9" w14:textId="77777777" w:rsidR="000601E9" w:rsidRDefault="002D1EBF" w:rsidP="002D1EBF">
      <w:pPr>
        <w:rPr>
          <w:rFonts w:ascii="Arial" w:hAnsi="Arial" w:cs="Arial"/>
          <w:lang w:val="en-US"/>
        </w:rPr>
      </w:pPr>
      <w:r w:rsidRPr="00523724">
        <w:rPr>
          <w:rFonts w:ascii="Arial" w:hAnsi="Arial" w:cs="Arial"/>
          <w:u w:val="single"/>
          <w:lang w:val="en-US"/>
        </w:rPr>
        <w:t>Proper and desirable practice required practitioners to have and maintain an arm's length association with the merits of matters handled by them.</w:t>
      </w:r>
      <w:r w:rsidRPr="00523724">
        <w:rPr>
          <w:rFonts w:ascii="Arial" w:hAnsi="Arial" w:cs="Arial"/>
          <w:lang w:val="en-US"/>
        </w:rPr>
        <w:t xml:space="preserve"> </w:t>
      </w:r>
    </w:p>
    <w:p w14:paraId="23AAD490" w14:textId="77777777" w:rsidR="000601E9" w:rsidRDefault="000601E9" w:rsidP="002D1EBF">
      <w:pPr>
        <w:rPr>
          <w:rFonts w:ascii="Arial" w:hAnsi="Arial" w:cs="Arial"/>
          <w:lang w:val="en-US"/>
        </w:rPr>
      </w:pPr>
    </w:p>
    <w:p w14:paraId="3EC060D0" w14:textId="7174AA01" w:rsidR="0036710E" w:rsidRPr="00161997" w:rsidRDefault="002D1EBF" w:rsidP="002D1EBF">
      <w:pPr>
        <w:rPr>
          <w:rFonts w:ascii="Arial" w:hAnsi="Arial" w:cs="Arial"/>
          <w:lang w:val="en-US"/>
        </w:rPr>
      </w:pPr>
      <w:r w:rsidRPr="000601E9">
        <w:rPr>
          <w:rFonts w:ascii="Arial" w:hAnsi="Arial" w:cs="Arial"/>
          <w:u w:val="single"/>
          <w:lang w:val="en-US"/>
        </w:rPr>
        <w:t>Normally a court should not allow such counsel to continue appearing</w:t>
      </w:r>
      <w:r w:rsidRPr="00523724">
        <w:rPr>
          <w:rFonts w:ascii="Arial" w:hAnsi="Arial" w:cs="Arial"/>
          <w:lang w:val="en-US"/>
        </w:rPr>
        <w:t>.  At very least it must get assurance that counsel will not rely on the affidavit in question.</w:t>
      </w:r>
    </w:p>
    <w:p w14:paraId="28A8B4B1" w14:textId="6B28B993" w:rsidR="00523724" w:rsidRDefault="00523724" w:rsidP="002D1EBF"/>
    <w:p w14:paraId="14641CFD" w14:textId="77777777" w:rsidR="00523724" w:rsidRDefault="00523724" w:rsidP="002D1EBF"/>
    <w:sectPr w:rsidR="00523724" w:rsidSect="009E537A">
      <w:headerReference w:type="default" r:id="rId6"/>
      <w:footerReference w:type="default" r:id="rId7"/>
      <w:pgSz w:w="11906" w:h="16838"/>
      <w:pgMar w:top="1440" w:right="1440" w:bottom="1440" w:left="1440" w:header="288" w:footer="144" w:gutter="0"/>
      <w:pgNumType w:start="2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3BB41" w14:textId="77777777" w:rsidR="00AD0ED2" w:rsidRDefault="00AD0ED2" w:rsidP="00A14C65">
      <w:r>
        <w:separator/>
      </w:r>
    </w:p>
  </w:endnote>
  <w:endnote w:type="continuationSeparator" w:id="0">
    <w:p w14:paraId="581BCD53" w14:textId="77777777" w:rsidR="00AD0ED2" w:rsidRDefault="00AD0ED2" w:rsidP="00A14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5235777"/>
      <w:docPartObj>
        <w:docPartGallery w:val="Page Numbers (Bottom of Page)"/>
        <w:docPartUnique/>
      </w:docPartObj>
    </w:sdtPr>
    <w:sdtEndPr>
      <w:rPr>
        <w:noProof/>
      </w:rPr>
    </w:sdtEndPr>
    <w:sdtContent>
      <w:p w14:paraId="16B22F06" w14:textId="64550FF8" w:rsidR="009E537A" w:rsidRDefault="009E537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CE6CCEE" w14:textId="77777777" w:rsidR="009E537A" w:rsidRDefault="009E5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28B0F" w14:textId="77777777" w:rsidR="00AD0ED2" w:rsidRDefault="00AD0ED2" w:rsidP="00A14C65">
      <w:r>
        <w:separator/>
      </w:r>
    </w:p>
  </w:footnote>
  <w:footnote w:type="continuationSeparator" w:id="0">
    <w:p w14:paraId="3B44E56A" w14:textId="77777777" w:rsidR="00AD0ED2" w:rsidRDefault="00AD0ED2" w:rsidP="00A14C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3CD0C" w14:textId="77777777" w:rsidR="00A14C65" w:rsidRPr="00A14C65" w:rsidRDefault="00AD0ED2">
    <w:pPr>
      <w:pStyle w:val="Header"/>
      <w:jc w:val="right"/>
      <w:rPr>
        <w:color w:val="000000" w:themeColor="text1"/>
      </w:rPr>
    </w:pPr>
    <w:sdt>
      <w:sdtPr>
        <w:rPr>
          <w:color w:val="000000" w:themeColor="text1"/>
        </w:rPr>
        <w:alias w:val="Title"/>
        <w:tag w:val=""/>
        <w:id w:val="664756013"/>
        <w:placeholder>
          <w:docPart w:val="5D73FE97B06A47D1829444B73FA1415A"/>
        </w:placeholder>
        <w:dataBinding w:prefixMappings="xmlns:ns0='http://purl.org/dc/elements/1.1/' xmlns:ns1='http://schemas.openxmlformats.org/package/2006/metadata/core-properties' " w:xpath="/ns1:coreProperties[1]/ns0:title[1]" w:storeItemID="{6C3C8BC8-F283-45AE-878A-BAB7291924A1}"/>
        <w:text/>
      </w:sdtPr>
      <w:sdtEndPr/>
      <w:sdtContent>
        <w:r w:rsidR="00A14C65" w:rsidRPr="00A14C65">
          <w:rPr>
            <w:color w:val="000000" w:themeColor="text1"/>
          </w:rPr>
          <w:t>The Independence of Counsel</w:t>
        </w:r>
      </w:sdtContent>
    </w:sdt>
    <w:r w:rsidR="00A14C65" w:rsidRPr="00A14C65">
      <w:rPr>
        <w:color w:val="000000" w:themeColor="text1"/>
      </w:rPr>
      <w:t xml:space="preserve"> | </w:t>
    </w:r>
    <w:sdt>
      <w:sdtPr>
        <w:rPr>
          <w:color w:val="000000" w:themeColor="text1"/>
        </w:rPr>
        <w:alias w:val="Author"/>
        <w:tag w:val=""/>
        <w:id w:val="-1677181147"/>
        <w:placeholder>
          <w:docPart w:val="0AA932E4296143F68EE36D245D994613"/>
        </w:placeholder>
        <w:dataBinding w:prefixMappings="xmlns:ns0='http://purl.org/dc/elements/1.1/' xmlns:ns1='http://schemas.openxmlformats.org/package/2006/metadata/core-properties' " w:xpath="/ns1:coreProperties[1]/ns0:creator[1]" w:storeItemID="{6C3C8BC8-F283-45AE-878A-BAB7291924A1}"/>
        <w:text/>
      </w:sdtPr>
      <w:sdtEndPr/>
      <w:sdtContent>
        <w:r w:rsidR="00A14C65" w:rsidRPr="00A14C65">
          <w:rPr>
            <w:color w:val="000000" w:themeColor="text1"/>
          </w:rPr>
          <w:t>Ethics</w:t>
        </w:r>
      </w:sdtContent>
    </w:sdt>
  </w:p>
  <w:p w14:paraId="7CFE329A" w14:textId="77777777" w:rsidR="00A14C65" w:rsidRDefault="00A14C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EBF"/>
    <w:rsid w:val="000272EB"/>
    <w:rsid w:val="000601E9"/>
    <w:rsid w:val="00090FB5"/>
    <w:rsid w:val="00094372"/>
    <w:rsid w:val="000A4325"/>
    <w:rsid w:val="000B25E4"/>
    <w:rsid w:val="000B54B3"/>
    <w:rsid w:val="000D4470"/>
    <w:rsid w:val="00130223"/>
    <w:rsid w:val="0013099B"/>
    <w:rsid w:val="00154056"/>
    <w:rsid w:val="001564EF"/>
    <w:rsid w:val="00161997"/>
    <w:rsid w:val="00180ECA"/>
    <w:rsid w:val="00187B67"/>
    <w:rsid w:val="00194738"/>
    <w:rsid w:val="002231F8"/>
    <w:rsid w:val="00227274"/>
    <w:rsid w:val="0023292F"/>
    <w:rsid w:val="00237F94"/>
    <w:rsid w:val="00244A9B"/>
    <w:rsid w:val="00283FBE"/>
    <w:rsid w:val="002C2248"/>
    <w:rsid w:val="002D1EBF"/>
    <w:rsid w:val="0036710E"/>
    <w:rsid w:val="003774F0"/>
    <w:rsid w:val="003779E3"/>
    <w:rsid w:val="003868CC"/>
    <w:rsid w:val="003E4D9D"/>
    <w:rsid w:val="004C7F7B"/>
    <w:rsid w:val="00523724"/>
    <w:rsid w:val="00537ED6"/>
    <w:rsid w:val="005767C3"/>
    <w:rsid w:val="00582708"/>
    <w:rsid w:val="005E309F"/>
    <w:rsid w:val="00603051"/>
    <w:rsid w:val="00615C2F"/>
    <w:rsid w:val="00615DCA"/>
    <w:rsid w:val="006432DF"/>
    <w:rsid w:val="00696EC9"/>
    <w:rsid w:val="006C30F0"/>
    <w:rsid w:val="00736E53"/>
    <w:rsid w:val="00757E69"/>
    <w:rsid w:val="007A2F20"/>
    <w:rsid w:val="007C2FA3"/>
    <w:rsid w:val="00812BE7"/>
    <w:rsid w:val="008A6185"/>
    <w:rsid w:val="008C044B"/>
    <w:rsid w:val="008D1486"/>
    <w:rsid w:val="00902BA8"/>
    <w:rsid w:val="00927B6C"/>
    <w:rsid w:val="0093129D"/>
    <w:rsid w:val="009C2DBB"/>
    <w:rsid w:val="009C339B"/>
    <w:rsid w:val="009E537A"/>
    <w:rsid w:val="00A14C65"/>
    <w:rsid w:val="00A74E1E"/>
    <w:rsid w:val="00AC207B"/>
    <w:rsid w:val="00AD0ED2"/>
    <w:rsid w:val="00B45B76"/>
    <w:rsid w:val="00B7316C"/>
    <w:rsid w:val="00BB1DCD"/>
    <w:rsid w:val="00C06D85"/>
    <w:rsid w:val="00C66620"/>
    <w:rsid w:val="00C82ABA"/>
    <w:rsid w:val="00C924A6"/>
    <w:rsid w:val="00D01B32"/>
    <w:rsid w:val="00D27344"/>
    <w:rsid w:val="00DE2E1A"/>
    <w:rsid w:val="00E03B2D"/>
    <w:rsid w:val="00E17C7D"/>
    <w:rsid w:val="00F02F34"/>
    <w:rsid w:val="00FB439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A904A"/>
  <w15:chartTrackingRefBased/>
  <w15:docId w15:val="{3F7866FC-BD2F-45CA-AD27-3135FDB1D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1EBF"/>
    <w:pPr>
      <w:jc w:val="both"/>
    </w:pPr>
    <w:rPr>
      <w:rFonts w:ascii="Times"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4C65"/>
    <w:pPr>
      <w:tabs>
        <w:tab w:val="center" w:pos="4513"/>
        <w:tab w:val="right" w:pos="9026"/>
      </w:tabs>
    </w:pPr>
  </w:style>
  <w:style w:type="character" w:customStyle="1" w:styleId="HeaderChar">
    <w:name w:val="Header Char"/>
    <w:basedOn w:val="DefaultParagraphFont"/>
    <w:link w:val="Header"/>
    <w:uiPriority w:val="99"/>
    <w:rsid w:val="00A14C65"/>
    <w:rPr>
      <w:rFonts w:ascii="Times" w:hAnsi="Times" w:cs="Times New Roman"/>
      <w:sz w:val="24"/>
      <w:szCs w:val="24"/>
    </w:rPr>
  </w:style>
  <w:style w:type="paragraph" w:styleId="Footer">
    <w:name w:val="footer"/>
    <w:basedOn w:val="Normal"/>
    <w:link w:val="FooterChar"/>
    <w:uiPriority w:val="99"/>
    <w:unhideWhenUsed/>
    <w:rsid w:val="00A14C65"/>
    <w:pPr>
      <w:tabs>
        <w:tab w:val="center" w:pos="4513"/>
        <w:tab w:val="right" w:pos="9026"/>
      </w:tabs>
    </w:pPr>
  </w:style>
  <w:style w:type="character" w:customStyle="1" w:styleId="FooterChar">
    <w:name w:val="Footer Char"/>
    <w:basedOn w:val="DefaultParagraphFont"/>
    <w:link w:val="Footer"/>
    <w:uiPriority w:val="99"/>
    <w:rsid w:val="00A14C65"/>
    <w:rPr>
      <w:rFonts w:ascii="Times" w:hAnsi="Times" w:cs="Times New Roman"/>
      <w:sz w:val="24"/>
      <w:szCs w:val="24"/>
    </w:rPr>
  </w:style>
  <w:style w:type="character" w:styleId="Hyperlink">
    <w:name w:val="Hyperlink"/>
    <w:basedOn w:val="DefaultParagraphFont"/>
    <w:uiPriority w:val="99"/>
    <w:unhideWhenUsed/>
    <w:rsid w:val="00187B67"/>
    <w:rPr>
      <w:color w:val="0563C1" w:themeColor="hyperlink"/>
      <w:u w:val="single"/>
    </w:rPr>
  </w:style>
  <w:style w:type="character" w:styleId="UnresolvedMention">
    <w:name w:val="Unresolved Mention"/>
    <w:basedOn w:val="DefaultParagraphFont"/>
    <w:uiPriority w:val="99"/>
    <w:semiHidden/>
    <w:unhideWhenUsed/>
    <w:rsid w:val="00187B67"/>
    <w:rPr>
      <w:color w:val="605E5C"/>
      <w:shd w:val="clear" w:color="auto" w:fill="E1DFDD"/>
    </w:rPr>
  </w:style>
  <w:style w:type="paragraph" w:styleId="ListParagraph">
    <w:name w:val="List Paragraph"/>
    <w:basedOn w:val="Normal"/>
    <w:uiPriority w:val="34"/>
    <w:qFormat/>
    <w:rsid w:val="009C3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306722">
      <w:bodyDiv w:val="1"/>
      <w:marLeft w:val="0"/>
      <w:marRight w:val="0"/>
      <w:marTop w:val="0"/>
      <w:marBottom w:val="0"/>
      <w:divBdr>
        <w:top w:val="none" w:sz="0" w:space="0" w:color="auto"/>
        <w:left w:val="none" w:sz="0" w:space="0" w:color="auto"/>
        <w:bottom w:val="none" w:sz="0" w:space="0" w:color="auto"/>
        <w:right w:val="none" w:sz="0" w:space="0" w:color="auto"/>
      </w:divBdr>
      <w:divsChild>
        <w:div w:id="658845491">
          <w:marLeft w:val="0"/>
          <w:marRight w:val="0"/>
          <w:marTop w:val="120"/>
          <w:marBottom w:val="0"/>
          <w:divBdr>
            <w:top w:val="none" w:sz="0" w:space="0" w:color="auto"/>
            <w:left w:val="none" w:sz="0" w:space="0" w:color="auto"/>
            <w:bottom w:val="none" w:sz="0" w:space="0" w:color="auto"/>
            <w:right w:val="none" w:sz="0" w:space="0" w:color="auto"/>
          </w:divBdr>
        </w:div>
        <w:div w:id="1251963130">
          <w:marLeft w:val="0"/>
          <w:marRight w:val="0"/>
          <w:marTop w:val="120"/>
          <w:marBottom w:val="0"/>
          <w:divBdr>
            <w:top w:val="none" w:sz="0" w:space="0" w:color="auto"/>
            <w:left w:val="none" w:sz="0" w:space="0" w:color="auto"/>
            <w:bottom w:val="none" w:sz="0" w:space="0" w:color="auto"/>
            <w:right w:val="none" w:sz="0" w:space="0" w:color="auto"/>
          </w:divBdr>
        </w:div>
      </w:divsChild>
    </w:div>
    <w:div w:id="2027050025">
      <w:bodyDiv w:val="1"/>
      <w:marLeft w:val="0"/>
      <w:marRight w:val="0"/>
      <w:marTop w:val="0"/>
      <w:marBottom w:val="0"/>
      <w:divBdr>
        <w:top w:val="none" w:sz="0" w:space="0" w:color="auto"/>
        <w:left w:val="none" w:sz="0" w:space="0" w:color="auto"/>
        <w:bottom w:val="none" w:sz="0" w:space="0" w:color="auto"/>
        <w:right w:val="none" w:sz="0" w:space="0" w:color="auto"/>
      </w:divBdr>
      <w:divsChild>
        <w:div w:id="1998147729">
          <w:marLeft w:val="0"/>
          <w:marRight w:val="0"/>
          <w:marTop w:val="120"/>
          <w:marBottom w:val="0"/>
          <w:divBdr>
            <w:top w:val="none" w:sz="0" w:space="0" w:color="auto"/>
            <w:left w:val="none" w:sz="0" w:space="0" w:color="auto"/>
            <w:bottom w:val="none" w:sz="0" w:space="0" w:color="auto"/>
            <w:right w:val="none" w:sz="0" w:space="0" w:color="auto"/>
          </w:divBdr>
        </w:div>
        <w:div w:id="1669626221">
          <w:marLeft w:val="567"/>
          <w:marRight w:val="0"/>
          <w:marTop w:val="120"/>
          <w:marBottom w:val="0"/>
          <w:divBdr>
            <w:top w:val="none" w:sz="0" w:space="0" w:color="auto"/>
            <w:left w:val="none" w:sz="0" w:space="0" w:color="auto"/>
            <w:bottom w:val="none" w:sz="0" w:space="0" w:color="auto"/>
            <w:right w:val="none" w:sz="0" w:space="0" w:color="auto"/>
          </w:divBdr>
        </w:div>
        <w:div w:id="1777748237">
          <w:marLeft w:val="0"/>
          <w:marRight w:val="0"/>
          <w:marTop w:val="160"/>
          <w:marBottom w:val="16"/>
          <w:divBdr>
            <w:top w:val="single" w:sz="8" w:space="2" w:color="808080"/>
            <w:left w:val="none" w:sz="0" w:space="0" w:color="auto"/>
            <w:bottom w:val="none" w:sz="0" w:space="0" w:color="auto"/>
            <w:right w:val="none" w:sz="0" w:space="0" w:color="auto"/>
          </w:divBdr>
        </w:div>
        <w:div w:id="251399714">
          <w:marLeft w:val="0"/>
          <w:marRight w:val="0"/>
          <w:marTop w:val="120"/>
          <w:marBottom w:val="0"/>
          <w:divBdr>
            <w:top w:val="none" w:sz="0" w:space="0" w:color="auto"/>
            <w:left w:val="none" w:sz="0" w:space="0" w:color="auto"/>
            <w:bottom w:val="none" w:sz="0" w:space="0" w:color="auto"/>
            <w:right w:val="none" w:sz="0" w:space="0" w:color="auto"/>
          </w:divBdr>
        </w:div>
        <w:div w:id="944768314">
          <w:marLeft w:val="567"/>
          <w:marRight w:val="0"/>
          <w:marTop w:val="120"/>
          <w:marBottom w:val="0"/>
          <w:divBdr>
            <w:top w:val="none" w:sz="0" w:space="0" w:color="auto"/>
            <w:left w:val="none" w:sz="0" w:space="0" w:color="auto"/>
            <w:bottom w:val="none" w:sz="0" w:space="0" w:color="auto"/>
            <w:right w:val="none" w:sz="0" w:space="0" w:color="auto"/>
          </w:divBdr>
        </w:div>
        <w:div w:id="178080616">
          <w:marLeft w:val="0"/>
          <w:marRight w:val="0"/>
          <w:marTop w:val="120"/>
          <w:marBottom w:val="0"/>
          <w:divBdr>
            <w:top w:val="none" w:sz="0" w:space="0" w:color="auto"/>
            <w:left w:val="none" w:sz="0" w:space="0" w:color="auto"/>
            <w:bottom w:val="none" w:sz="0" w:space="0" w:color="auto"/>
            <w:right w:val="none" w:sz="0" w:space="0" w:color="auto"/>
          </w:divBdr>
        </w:div>
        <w:div w:id="1787919">
          <w:marLeft w:val="56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D73FE97B06A47D1829444B73FA1415A"/>
        <w:category>
          <w:name w:val="General"/>
          <w:gallery w:val="placeholder"/>
        </w:category>
        <w:types>
          <w:type w:val="bbPlcHdr"/>
        </w:types>
        <w:behaviors>
          <w:behavior w:val="content"/>
        </w:behaviors>
        <w:guid w:val="{FA248888-A643-4BDD-BE95-66C0818FF003}"/>
      </w:docPartPr>
      <w:docPartBody>
        <w:p w:rsidR="001B042B" w:rsidRDefault="00102E93" w:rsidP="00102E93">
          <w:pPr>
            <w:pStyle w:val="5D73FE97B06A47D1829444B73FA1415A"/>
          </w:pPr>
          <w:r>
            <w:rPr>
              <w:color w:val="4472C4" w:themeColor="accent1"/>
            </w:rPr>
            <w:t>[Document title]</w:t>
          </w:r>
        </w:p>
      </w:docPartBody>
    </w:docPart>
    <w:docPart>
      <w:docPartPr>
        <w:name w:val="0AA932E4296143F68EE36D245D994613"/>
        <w:category>
          <w:name w:val="General"/>
          <w:gallery w:val="placeholder"/>
        </w:category>
        <w:types>
          <w:type w:val="bbPlcHdr"/>
        </w:types>
        <w:behaviors>
          <w:behavior w:val="content"/>
        </w:behaviors>
        <w:guid w:val="{6E89083B-9B55-497A-BD29-4E0B612A8DA7}"/>
      </w:docPartPr>
      <w:docPartBody>
        <w:p w:rsidR="001B042B" w:rsidRDefault="00102E93" w:rsidP="00102E93">
          <w:pPr>
            <w:pStyle w:val="0AA932E4296143F68EE36D245D994613"/>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E93"/>
    <w:rsid w:val="00057D5B"/>
    <w:rsid w:val="00102E93"/>
    <w:rsid w:val="001B042B"/>
    <w:rsid w:val="002B10C5"/>
    <w:rsid w:val="005D1386"/>
    <w:rsid w:val="00AB534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73FE97B06A47D1829444B73FA1415A">
    <w:name w:val="5D73FE97B06A47D1829444B73FA1415A"/>
    <w:rsid w:val="00102E93"/>
  </w:style>
  <w:style w:type="paragraph" w:customStyle="1" w:styleId="0AA932E4296143F68EE36D245D994613">
    <w:name w:val="0AA932E4296143F68EE36D245D994613"/>
    <w:rsid w:val="00102E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1240</TotalTime>
  <Pages>1</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The Independence of Counsel</vt:lpstr>
    </vt:vector>
  </TitlesOfParts>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Independence of Counsel</dc:title>
  <dc:subject/>
  <dc:creator>Ethics</dc:creator>
  <cp:keywords/>
  <dc:description/>
  <cp:lastModifiedBy>Chantal Dittberner</cp:lastModifiedBy>
  <cp:revision>66</cp:revision>
  <cp:lastPrinted>2019-01-10T11:10:00Z</cp:lastPrinted>
  <dcterms:created xsi:type="dcterms:W3CDTF">2018-11-08T15:46:00Z</dcterms:created>
  <dcterms:modified xsi:type="dcterms:W3CDTF">2019-01-10T11:10:00Z</dcterms:modified>
</cp:coreProperties>
</file>